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8" w:type="dxa"/>
        <w:tblLayout w:type="fixed"/>
        <w:tblLook w:val="04A0" w:firstRow="1" w:lastRow="0" w:firstColumn="1" w:lastColumn="0" w:noHBand="0" w:noVBand="1"/>
      </w:tblPr>
      <w:tblGrid>
        <w:gridCol w:w="2842"/>
        <w:gridCol w:w="2843"/>
        <w:gridCol w:w="2843"/>
      </w:tblGrid>
      <w:tr w:rsidR="00E36028" w14:paraId="2F0645D0" w14:textId="77777777" w:rsidTr="00C433A1">
        <w:tc>
          <w:tcPr>
            <w:tcW w:w="2842" w:type="dxa"/>
          </w:tcPr>
          <w:p w14:paraId="0278AB24" w14:textId="77777777" w:rsidR="00E36028" w:rsidRDefault="00E36028" w:rsidP="00C433A1">
            <w:pPr>
              <w:pStyle w:val="Default"/>
              <w:spacing w:line="276" w:lineRule="auto"/>
              <w:rPr>
                <w:rFonts w:hAnsi="宋体"/>
                <w:sz w:val="21"/>
                <w:szCs w:val="21"/>
              </w:rPr>
            </w:pPr>
            <w:r>
              <w:rPr>
                <w:rFonts w:hAnsi="宋体" w:hint="eastAsia"/>
                <w:sz w:val="21"/>
                <w:szCs w:val="21"/>
              </w:rPr>
              <w:t>股票代码：</w:t>
            </w:r>
            <w:r>
              <w:rPr>
                <w:rFonts w:hAnsi="宋体"/>
                <w:sz w:val="21"/>
                <w:szCs w:val="21"/>
              </w:rPr>
              <w:t>A股 600663</w:t>
            </w:r>
          </w:p>
        </w:tc>
        <w:tc>
          <w:tcPr>
            <w:tcW w:w="2843" w:type="dxa"/>
          </w:tcPr>
          <w:p w14:paraId="6A4A24BF" w14:textId="77777777" w:rsidR="00E36028" w:rsidRDefault="00E36028" w:rsidP="00C433A1">
            <w:pPr>
              <w:pStyle w:val="Default"/>
              <w:spacing w:line="276" w:lineRule="auto"/>
              <w:ind w:firstLineChars="100" w:firstLine="210"/>
              <w:rPr>
                <w:rFonts w:hAnsi="宋体"/>
                <w:sz w:val="21"/>
                <w:szCs w:val="21"/>
              </w:rPr>
            </w:pPr>
            <w:r>
              <w:rPr>
                <w:rFonts w:hAnsi="宋体" w:hint="eastAsia"/>
                <w:sz w:val="21"/>
                <w:szCs w:val="21"/>
              </w:rPr>
              <w:t>证券简称：陆家嘴</w:t>
            </w:r>
          </w:p>
        </w:tc>
        <w:tc>
          <w:tcPr>
            <w:tcW w:w="2843" w:type="dxa"/>
            <w:vMerge w:val="restart"/>
          </w:tcPr>
          <w:p w14:paraId="397094B9" w14:textId="783AE047" w:rsidR="00E36028" w:rsidRDefault="00E36028" w:rsidP="00C433A1">
            <w:pPr>
              <w:pStyle w:val="Default"/>
              <w:spacing w:line="276" w:lineRule="auto"/>
              <w:jc w:val="right"/>
              <w:rPr>
                <w:rFonts w:hAnsi="宋体"/>
                <w:sz w:val="21"/>
                <w:szCs w:val="21"/>
              </w:rPr>
            </w:pPr>
            <w:r>
              <w:rPr>
                <w:rFonts w:hAnsi="宋体" w:hint="eastAsia"/>
                <w:sz w:val="21"/>
                <w:szCs w:val="21"/>
              </w:rPr>
              <w:t>编号：临</w:t>
            </w:r>
            <w:r>
              <w:rPr>
                <w:rFonts w:hAnsi="宋体"/>
                <w:sz w:val="21"/>
                <w:szCs w:val="21"/>
              </w:rPr>
              <w:t>2020-01</w:t>
            </w:r>
            <w:r w:rsidR="00896B49">
              <w:rPr>
                <w:rFonts w:hAnsi="宋体"/>
                <w:sz w:val="21"/>
                <w:szCs w:val="21"/>
              </w:rPr>
              <w:t>9</w:t>
            </w:r>
          </w:p>
        </w:tc>
      </w:tr>
      <w:tr w:rsidR="00E36028" w14:paraId="2485B4A1" w14:textId="77777777" w:rsidTr="00C433A1">
        <w:tc>
          <w:tcPr>
            <w:tcW w:w="2842" w:type="dxa"/>
          </w:tcPr>
          <w:p w14:paraId="1EB116C7" w14:textId="77777777" w:rsidR="00E36028" w:rsidRDefault="00E36028" w:rsidP="00C433A1">
            <w:pPr>
              <w:pStyle w:val="Default"/>
              <w:spacing w:line="276" w:lineRule="auto"/>
              <w:rPr>
                <w:rFonts w:hAnsi="宋体"/>
                <w:sz w:val="21"/>
                <w:szCs w:val="21"/>
              </w:rPr>
            </w:pPr>
            <w:r>
              <w:rPr>
                <w:rFonts w:hAnsi="宋体"/>
                <w:sz w:val="21"/>
                <w:szCs w:val="21"/>
              </w:rPr>
              <w:t xml:space="preserve">          B</w:t>
            </w:r>
            <w:r>
              <w:rPr>
                <w:rFonts w:hAnsi="宋体" w:hint="eastAsia"/>
                <w:sz w:val="21"/>
                <w:szCs w:val="21"/>
              </w:rPr>
              <w:t>股</w:t>
            </w:r>
            <w:r>
              <w:rPr>
                <w:rFonts w:hAnsi="宋体"/>
                <w:sz w:val="21"/>
                <w:szCs w:val="21"/>
              </w:rPr>
              <w:t xml:space="preserve"> 900932              </w:t>
            </w:r>
          </w:p>
        </w:tc>
        <w:tc>
          <w:tcPr>
            <w:tcW w:w="2843" w:type="dxa"/>
          </w:tcPr>
          <w:p w14:paraId="0AC39E72" w14:textId="77777777" w:rsidR="00E36028" w:rsidRDefault="00E36028" w:rsidP="00C433A1">
            <w:pPr>
              <w:pStyle w:val="Default"/>
              <w:spacing w:line="276" w:lineRule="auto"/>
              <w:ind w:firstLineChars="100" w:firstLine="210"/>
              <w:rPr>
                <w:rFonts w:hAnsi="宋体"/>
                <w:sz w:val="21"/>
                <w:szCs w:val="21"/>
              </w:rPr>
            </w:pPr>
            <w:r>
              <w:rPr>
                <w:rFonts w:hAnsi="宋体"/>
                <w:sz w:val="21"/>
                <w:szCs w:val="21"/>
              </w:rPr>
              <w:t xml:space="preserve">          </w:t>
            </w:r>
            <w:r>
              <w:rPr>
                <w:rFonts w:hAnsi="宋体" w:hint="eastAsia"/>
                <w:sz w:val="21"/>
                <w:szCs w:val="21"/>
              </w:rPr>
              <w:t>陆家</w:t>
            </w:r>
            <w:r>
              <w:rPr>
                <w:rFonts w:hAnsi="宋体"/>
                <w:sz w:val="21"/>
                <w:szCs w:val="21"/>
              </w:rPr>
              <w:t>B股</w:t>
            </w:r>
          </w:p>
        </w:tc>
        <w:tc>
          <w:tcPr>
            <w:tcW w:w="2843" w:type="dxa"/>
            <w:vMerge/>
          </w:tcPr>
          <w:p w14:paraId="0DA24034" w14:textId="77777777" w:rsidR="00E36028" w:rsidRDefault="00E36028" w:rsidP="00C433A1">
            <w:pPr>
              <w:pStyle w:val="Default"/>
              <w:spacing w:line="276" w:lineRule="auto"/>
              <w:jc w:val="right"/>
              <w:rPr>
                <w:rFonts w:hAnsi="宋体"/>
                <w:sz w:val="21"/>
                <w:szCs w:val="21"/>
              </w:rPr>
            </w:pPr>
          </w:p>
        </w:tc>
      </w:tr>
    </w:tbl>
    <w:p w14:paraId="5C83F2D5" w14:textId="77777777" w:rsidR="00B224E3" w:rsidRPr="00403DC4" w:rsidRDefault="00B224E3">
      <w:pPr>
        <w:adjustRightInd w:val="0"/>
        <w:snapToGrid w:val="0"/>
        <w:spacing w:afterLines="50" w:after="156" w:line="480" w:lineRule="exact"/>
        <w:rPr>
          <w:rFonts w:ascii="楷体" w:eastAsia="楷体"/>
          <w:b/>
          <w:szCs w:val="21"/>
        </w:rPr>
      </w:pPr>
    </w:p>
    <w:p w14:paraId="4D07B4E9" w14:textId="77777777" w:rsidR="00B224E3" w:rsidRPr="00403DC4" w:rsidRDefault="00B224E3">
      <w:pPr>
        <w:adjustRightInd w:val="0"/>
        <w:snapToGrid w:val="0"/>
        <w:spacing w:afterLines="50" w:after="156" w:line="480" w:lineRule="exact"/>
        <w:jc w:val="center"/>
        <w:rPr>
          <w:rFonts w:ascii="黑体" w:eastAsia="黑体" w:hAnsi="宋体"/>
          <w:b/>
          <w:color w:val="FF0000"/>
          <w:sz w:val="36"/>
          <w:szCs w:val="36"/>
        </w:rPr>
      </w:pPr>
      <w:r w:rsidRPr="00403DC4">
        <w:rPr>
          <w:rFonts w:ascii="黑体" w:eastAsia="黑体" w:hAnsi="宋体" w:hint="eastAsia"/>
          <w:b/>
          <w:color w:val="FF0000"/>
          <w:sz w:val="36"/>
          <w:szCs w:val="36"/>
        </w:rPr>
        <w:t>上海陆家嘴金融贸易区开发股份有限公司</w:t>
      </w:r>
    </w:p>
    <w:p w14:paraId="5E810644" w14:textId="77777777" w:rsidR="00E36028" w:rsidRPr="00590B57" w:rsidRDefault="00E36028" w:rsidP="00BA6CE7">
      <w:pPr>
        <w:adjustRightInd w:val="0"/>
        <w:snapToGrid w:val="0"/>
        <w:spacing w:afterLines="50" w:after="156" w:line="480" w:lineRule="exact"/>
        <w:jc w:val="center"/>
        <w:rPr>
          <w:rFonts w:ascii="黑体" w:eastAsia="黑体" w:hAnsi="宋体"/>
          <w:b/>
          <w:bCs/>
          <w:color w:val="FF0000"/>
          <w:sz w:val="36"/>
          <w:szCs w:val="36"/>
        </w:rPr>
      </w:pPr>
      <w:r w:rsidRPr="00590B57">
        <w:rPr>
          <w:rFonts w:ascii="黑体" w:eastAsia="黑体" w:hAnsi="宋体" w:hint="eastAsia"/>
          <w:b/>
          <w:bCs/>
          <w:color w:val="FF0000"/>
          <w:sz w:val="36"/>
          <w:szCs w:val="36"/>
        </w:rPr>
        <w:t>关于与关联方共同对上海东翌置业有限公司增资</w:t>
      </w:r>
    </w:p>
    <w:p w14:paraId="3BB43F30" w14:textId="25B9A87A" w:rsidR="00B224E3" w:rsidRPr="00590B57" w:rsidRDefault="00E36028" w:rsidP="00BA6CE7">
      <w:pPr>
        <w:adjustRightInd w:val="0"/>
        <w:snapToGrid w:val="0"/>
        <w:spacing w:afterLines="50" w:after="156" w:line="480" w:lineRule="exact"/>
        <w:jc w:val="center"/>
        <w:rPr>
          <w:rFonts w:ascii="黑体" w:eastAsia="黑体" w:hAnsi="宋体"/>
          <w:b/>
          <w:bCs/>
          <w:color w:val="FF0000"/>
          <w:sz w:val="36"/>
          <w:szCs w:val="36"/>
        </w:rPr>
      </w:pPr>
      <w:r w:rsidRPr="00590B57">
        <w:rPr>
          <w:rFonts w:ascii="黑体" w:eastAsia="黑体" w:hAnsi="宋体" w:hint="eastAsia"/>
          <w:b/>
          <w:bCs/>
          <w:color w:val="FF0000"/>
          <w:sz w:val="36"/>
          <w:szCs w:val="36"/>
        </w:rPr>
        <w:t>暨关联交易公告</w:t>
      </w:r>
    </w:p>
    <w:p w14:paraId="0CE8E789" w14:textId="77777777" w:rsidR="00B224E3" w:rsidRPr="00403DC4" w:rsidRDefault="00B224E3">
      <w:pPr>
        <w:adjustRightInd w:val="0"/>
        <w:snapToGrid w:val="0"/>
        <w:spacing w:afterLines="50" w:after="156" w:line="560" w:lineRule="exact"/>
        <w:ind w:firstLineChars="200" w:firstLine="482"/>
        <w:rPr>
          <w:rFonts w:ascii="Arial Unicode MS" w:hAnsi="Arial Unicode MS"/>
          <w:b/>
          <w:sz w:val="24"/>
        </w:rPr>
      </w:pPr>
      <w:r w:rsidRPr="00403DC4">
        <w:rPr>
          <w:rFonts w:ascii="Arial Unicode MS" w:hAnsi="Arial Unicode MS" w:hint="eastAsia"/>
          <w:b/>
          <w:sz w:val="24"/>
        </w:rPr>
        <w:t>本公司董事会及全体董事保证本公告内容不存在任何虚假记载、误导性陈述或者重大遗漏，并对其内容的真实性、准确性和完整性承担个别及连带责任。</w:t>
      </w:r>
    </w:p>
    <w:p w14:paraId="5E07371A" w14:textId="70FC2F7E" w:rsidR="00B224E3" w:rsidRPr="00EA202D" w:rsidRDefault="00B224E3" w:rsidP="00872279">
      <w:pPr>
        <w:adjustRightInd w:val="0"/>
        <w:snapToGrid w:val="0"/>
        <w:spacing w:afterLines="50" w:after="156" w:line="480" w:lineRule="exact"/>
        <w:ind w:firstLineChars="200" w:firstLine="482"/>
        <w:rPr>
          <w:rFonts w:ascii="宋体" w:hAnsi="宋体"/>
          <w:b/>
          <w:sz w:val="24"/>
        </w:rPr>
      </w:pPr>
      <w:r w:rsidRPr="00EA202D">
        <w:rPr>
          <w:rFonts w:ascii="宋体" w:hAnsi="宋体" w:hint="eastAsia"/>
          <w:b/>
          <w:sz w:val="24"/>
        </w:rPr>
        <w:t>重要内容提示：</w:t>
      </w:r>
    </w:p>
    <w:p w14:paraId="23E81916" w14:textId="5EAA889F" w:rsidR="006015E4" w:rsidRPr="00C209EE" w:rsidRDefault="00BA6CE7" w:rsidP="006015E4">
      <w:pPr>
        <w:pStyle w:val="af5"/>
        <w:numPr>
          <w:ilvl w:val="0"/>
          <w:numId w:val="1"/>
        </w:numPr>
        <w:adjustRightInd w:val="0"/>
        <w:snapToGrid w:val="0"/>
        <w:spacing w:afterLines="50" w:after="156" w:line="480" w:lineRule="exact"/>
        <w:ind w:left="0" w:firstLineChars="0" w:firstLine="480"/>
        <w:rPr>
          <w:rFonts w:ascii="宋体" w:hAnsi="宋体"/>
          <w:sz w:val="24"/>
        </w:rPr>
      </w:pPr>
      <w:r w:rsidRPr="00C209EE">
        <w:rPr>
          <w:rFonts w:ascii="宋体" w:hAnsi="宋体" w:hint="eastAsia"/>
          <w:sz w:val="24"/>
        </w:rPr>
        <w:t>交易内容</w:t>
      </w:r>
      <w:r w:rsidR="005459E2" w:rsidRPr="00C209EE">
        <w:rPr>
          <w:rFonts w:ascii="宋体" w:hAnsi="宋体"/>
          <w:sz w:val="24"/>
        </w:rPr>
        <w:t>：</w:t>
      </w:r>
      <w:r w:rsidR="005459E2" w:rsidRPr="005121F5">
        <w:rPr>
          <w:rFonts w:ascii="宋体" w:hAnsi="宋体" w:hint="eastAsia"/>
          <w:sz w:val="24"/>
        </w:rPr>
        <w:t>上海陆家嘴金融贸易区开发股份有限公司（以下简称“公司”）</w:t>
      </w:r>
      <w:r w:rsidRPr="005121F5">
        <w:rPr>
          <w:rFonts w:ascii="宋体" w:hAnsi="宋体" w:hint="eastAsia"/>
          <w:sz w:val="24"/>
        </w:rPr>
        <w:t>与</w:t>
      </w:r>
      <w:r w:rsidR="00B139BB">
        <w:rPr>
          <w:rFonts w:ascii="宋体" w:hAnsi="宋体"/>
          <w:sz w:val="24"/>
        </w:rPr>
        <w:t>关联方</w:t>
      </w:r>
      <w:r w:rsidRPr="005121F5">
        <w:rPr>
          <w:rFonts w:ascii="宋体" w:hAnsi="宋体"/>
          <w:sz w:val="24"/>
        </w:rPr>
        <w:t>—上海陆家嘴（集团</w:t>
      </w:r>
      <w:r w:rsidRPr="005121F5">
        <w:rPr>
          <w:rFonts w:ascii="宋体" w:hAnsi="宋体" w:hint="eastAsia"/>
          <w:sz w:val="24"/>
        </w:rPr>
        <w:t>）</w:t>
      </w:r>
      <w:r w:rsidRPr="005121F5">
        <w:rPr>
          <w:rFonts w:ascii="宋体" w:hAnsi="宋体"/>
          <w:sz w:val="24"/>
        </w:rPr>
        <w:t>有限公司</w:t>
      </w:r>
      <w:r w:rsidR="003D3AC9" w:rsidRPr="005121F5">
        <w:rPr>
          <w:rFonts w:ascii="宋体" w:hAnsi="宋体" w:hint="eastAsia"/>
          <w:sz w:val="24"/>
        </w:rPr>
        <w:t>（以下简称“</w:t>
      </w:r>
      <w:r w:rsidR="006015E4">
        <w:rPr>
          <w:rFonts w:ascii="宋体" w:hAnsi="宋体" w:hint="eastAsia"/>
          <w:sz w:val="24"/>
        </w:rPr>
        <w:t>陆家嘴</w:t>
      </w:r>
      <w:r w:rsidR="003D3AC9" w:rsidRPr="005121F5">
        <w:rPr>
          <w:rFonts w:ascii="宋体" w:hAnsi="宋体" w:hint="eastAsia"/>
          <w:sz w:val="24"/>
        </w:rPr>
        <w:t>集团”）</w:t>
      </w:r>
      <w:r w:rsidR="00590B57" w:rsidRPr="00590B57">
        <w:rPr>
          <w:rFonts w:ascii="宋体" w:hAnsi="宋体" w:hint="eastAsia"/>
          <w:sz w:val="24"/>
        </w:rPr>
        <w:t>按持股比例共同对</w:t>
      </w:r>
      <w:r w:rsidR="00590B57">
        <w:rPr>
          <w:rFonts w:ascii="宋体" w:hAnsi="宋体" w:hint="eastAsia"/>
          <w:sz w:val="24"/>
        </w:rPr>
        <w:t>上海</w:t>
      </w:r>
      <w:r w:rsidR="00590B57" w:rsidRPr="00590B57">
        <w:rPr>
          <w:rFonts w:ascii="宋体" w:hAnsi="宋体" w:hint="eastAsia"/>
          <w:sz w:val="24"/>
        </w:rPr>
        <w:t>东翌置业</w:t>
      </w:r>
      <w:r w:rsidR="00590B57">
        <w:rPr>
          <w:rFonts w:ascii="宋体" w:hAnsi="宋体" w:hint="eastAsia"/>
          <w:sz w:val="24"/>
        </w:rPr>
        <w:t>有限公司（以下简称“东翌置业”）</w:t>
      </w:r>
      <w:r w:rsidR="00590B57" w:rsidRPr="00590B57">
        <w:rPr>
          <w:rFonts w:ascii="宋体" w:hAnsi="宋体" w:hint="eastAsia"/>
          <w:sz w:val="24"/>
        </w:rPr>
        <w:t>以现金方式进行增资，其中公司持有东</w:t>
      </w:r>
      <w:proofErr w:type="gramStart"/>
      <w:r w:rsidR="00590B57" w:rsidRPr="00590B57">
        <w:rPr>
          <w:rFonts w:ascii="宋体" w:hAnsi="宋体" w:hint="eastAsia"/>
          <w:sz w:val="24"/>
        </w:rPr>
        <w:t>翌</w:t>
      </w:r>
      <w:proofErr w:type="gramEnd"/>
      <w:r w:rsidR="00590B57" w:rsidRPr="00590B57">
        <w:rPr>
          <w:rFonts w:ascii="宋体" w:hAnsi="宋体" w:hint="eastAsia"/>
          <w:sz w:val="24"/>
        </w:rPr>
        <w:t>置业60%股权，出资人民币120,000万元；陆家嘴集团持有东</w:t>
      </w:r>
      <w:proofErr w:type="gramStart"/>
      <w:r w:rsidR="00590B57" w:rsidRPr="00590B57">
        <w:rPr>
          <w:rFonts w:ascii="宋体" w:hAnsi="宋体" w:hint="eastAsia"/>
          <w:sz w:val="24"/>
        </w:rPr>
        <w:t>翌</w:t>
      </w:r>
      <w:proofErr w:type="gramEnd"/>
      <w:r w:rsidR="00590B57" w:rsidRPr="00590B57">
        <w:rPr>
          <w:rFonts w:ascii="宋体" w:hAnsi="宋体" w:hint="eastAsia"/>
          <w:sz w:val="24"/>
        </w:rPr>
        <w:t>置业40%股权，出资人民币80,000万元。本次增资完成后，东</w:t>
      </w:r>
      <w:proofErr w:type="gramStart"/>
      <w:r w:rsidR="00590B57" w:rsidRPr="00590B57">
        <w:rPr>
          <w:rFonts w:ascii="宋体" w:hAnsi="宋体" w:hint="eastAsia"/>
          <w:sz w:val="24"/>
        </w:rPr>
        <w:t>翌</w:t>
      </w:r>
      <w:proofErr w:type="gramEnd"/>
      <w:r w:rsidR="00590B57" w:rsidRPr="00590B57">
        <w:rPr>
          <w:rFonts w:ascii="宋体" w:hAnsi="宋体" w:hint="eastAsia"/>
          <w:sz w:val="24"/>
        </w:rPr>
        <w:t>置业的注册资本金将由人民币750,000万元增加到人民币950,000万元，股东双方持股比例不变。</w:t>
      </w:r>
    </w:p>
    <w:p w14:paraId="2231B075" w14:textId="10C5C63D" w:rsidR="005459E2" w:rsidRPr="00C209EE" w:rsidRDefault="00BA6CE7" w:rsidP="00BA6CE7">
      <w:pPr>
        <w:pStyle w:val="af5"/>
        <w:numPr>
          <w:ilvl w:val="0"/>
          <w:numId w:val="1"/>
        </w:numPr>
        <w:adjustRightInd w:val="0"/>
        <w:snapToGrid w:val="0"/>
        <w:spacing w:afterLines="50" w:after="156" w:line="480" w:lineRule="exact"/>
        <w:ind w:left="0" w:firstLineChars="0" w:firstLine="480"/>
        <w:rPr>
          <w:rFonts w:ascii="宋体" w:hAnsi="宋体"/>
          <w:sz w:val="24"/>
        </w:rPr>
      </w:pPr>
      <w:r w:rsidRPr="00C209EE">
        <w:rPr>
          <w:rFonts w:ascii="宋体" w:hAnsi="宋体" w:hint="eastAsia"/>
          <w:sz w:val="24"/>
        </w:rPr>
        <w:t>交易性质</w:t>
      </w:r>
      <w:r w:rsidR="005459E2" w:rsidRPr="00C209EE">
        <w:rPr>
          <w:rFonts w:ascii="宋体" w:hAnsi="宋体" w:hint="eastAsia"/>
          <w:sz w:val="24"/>
        </w:rPr>
        <w:t>：</w:t>
      </w:r>
      <w:r w:rsidRPr="005121F5">
        <w:rPr>
          <w:rFonts w:ascii="宋体" w:hAnsi="宋体" w:hint="eastAsia"/>
          <w:sz w:val="24"/>
        </w:rPr>
        <w:t>本次交易构成关联交易</w:t>
      </w:r>
      <w:r w:rsidRPr="00C209EE">
        <w:rPr>
          <w:rFonts w:ascii="宋体" w:hAnsi="宋体" w:hint="eastAsia"/>
          <w:sz w:val="24"/>
        </w:rPr>
        <w:t>，但</w:t>
      </w:r>
      <w:r w:rsidR="00D9298E" w:rsidRPr="00C209EE">
        <w:rPr>
          <w:rFonts w:ascii="宋体" w:hAnsi="宋体"/>
          <w:sz w:val="24"/>
        </w:rPr>
        <w:t>不构成重大资产重组。</w:t>
      </w:r>
    </w:p>
    <w:p w14:paraId="7CBE06F6" w14:textId="6AA67585" w:rsidR="00133FB9" w:rsidRPr="005121F5" w:rsidRDefault="00133FB9" w:rsidP="00133FB9">
      <w:pPr>
        <w:pStyle w:val="af5"/>
        <w:numPr>
          <w:ilvl w:val="0"/>
          <w:numId w:val="1"/>
        </w:numPr>
        <w:adjustRightInd w:val="0"/>
        <w:snapToGrid w:val="0"/>
        <w:spacing w:afterLines="50" w:after="156" w:line="480" w:lineRule="exact"/>
        <w:ind w:left="0" w:firstLineChars="0" w:firstLine="480"/>
        <w:rPr>
          <w:rFonts w:ascii="宋体" w:hAnsi="宋体"/>
          <w:sz w:val="24"/>
        </w:rPr>
      </w:pPr>
      <w:r>
        <w:rPr>
          <w:rFonts w:ascii="宋体" w:hAnsi="宋体" w:hint="eastAsia"/>
          <w:sz w:val="24"/>
        </w:rPr>
        <w:t>审议程序：</w:t>
      </w:r>
      <w:r w:rsidR="005121F5" w:rsidRPr="005121F5">
        <w:rPr>
          <w:rFonts w:ascii="宋体" w:hAnsi="宋体"/>
          <w:sz w:val="24"/>
        </w:rPr>
        <w:t>本次关联交易经公司</w:t>
      </w:r>
      <w:r w:rsidR="00F02AFB">
        <w:rPr>
          <w:rFonts w:ascii="宋体" w:hAnsi="宋体" w:hint="eastAsia"/>
          <w:sz w:val="24"/>
        </w:rPr>
        <w:t>第八届董事会审计委员会2</w:t>
      </w:r>
      <w:r w:rsidR="00F02AFB">
        <w:rPr>
          <w:rFonts w:ascii="宋体" w:hAnsi="宋体"/>
          <w:sz w:val="24"/>
        </w:rPr>
        <w:t>0</w:t>
      </w:r>
      <w:r w:rsidR="00590B57">
        <w:rPr>
          <w:rFonts w:ascii="宋体" w:hAnsi="宋体"/>
          <w:sz w:val="24"/>
        </w:rPr>
        <w:t>20</w:t>
      </w:r>
      <w:r w:rsidR="00F02AFB">
        <w:rPr>
          <w:rFonts w:ascii="宋体" w:hAnsi="宋体" w:hint="eastAsia"/>
          <w:sz w:val="24"/>
        </w:rPr>
        <w:t>年第</w:t>
      </w:r>
      <w:r w:rsidR="00590B57">
        <w:rPr>
          <w:rFonts w:ascii="宋体" w:hAnsi="宋体" w:hint="eastAsia"/>
          <w:sz w:val="24"/>
        </w:rPr>
        <w:t>一</w:t>
      </w:r>
      <w:r w:rsidR="00F02AFB">
        <w:rPr>
          <w:rFonts w:ascii="宋体" w:hAnsi="宋体" w:hint="eastAsia"/>
          <w:sz w:val="24"/>
        </w:rPr>
        <w:t>次</w:t>
      </w:r>
      <w:r w:rsidR="00590B57">
        <w:rPr>
          <w:rFonts w:ascii="宋体" w:hAnsi="宋体" w:hint="eastAsia"/>
          <w:sz w:val="24"/>
        </w:rPr>
        <w:t>临时</w:t>
      </w:r>
      <w:r w:rsidR="00F02AFB">
        <w:rPr>
          <w:rFonts w:ascii="宋体" w:hAnsi="宋体" w:hint="eastAsia"/>
          <w:sz w:val="24"/>
        </w:rPr>
        <w:t>会议、</w:t>
      </w:r>
      <w:r w:rsidR="005121F5" w:rsidRPr="000850FD">
        <w:rPr>
          <w:rFonts w:ascii="宋体" w:hAnsi="宋体"/>
          <w:sz w:val="24"/>
        </w:rPr>
        <w:t>第</w:t>
      </w:r>
      <w:r w:rsidR="005121F5" w:rsidRPr="000850FD">
        <w:rPr>
          <w:rFonts w:ascii="宋体" w:hAnsi="宋体" w:hint="eastAsia"/>
          <w:sz w:val="24"/>
        </w:rPr>
        <w:t>八</w:t>
      </w:r>
      <w:r w:rsidR="005121F5" w:rsidRPr="000850FD">
        <w:rPr>
          <w:rFonts w:ascii="宋体" w:hAnsi="宋体"/>
          <w:sz w:val="24"/>
        </w:rPr>
        <w:t>届</w:t>
      </w:r>
      <w:r w:rsidR="005121F5" w:rsidRPr="000850FD">
        <w:rPr>
          <w:rFonts w:ascii="宋体" w:hAnsi="宋体" w:hint="eastAsia"/>
          <w:sz w:val="24"/>
        </w:rPr>
        <w:t>董事会</w:t>
      </w:r>
      <w:r w:rsidR="000850FD" w:rsidRPr="000850FD">
        <w:rPr>
          <w:rFonts w:ascii="宋体" w:hAnsi="宋体" w:hint="eastAsia"/>
          <w:sz w:val="24"/>
        </w:rPr>
        <w:t>第</w:t>
      </w:r>
      <w:r w:rsidR="00590B57">
        <w:rPr>
          <w:rFonts w:ascii="宋体" w:hAnsi="宋体" w:hint="eastAsia"/>
          <w:sz w:val="24"/>
        </w:rPr>
        <w:t>九</w:t>
      </w:r>
      <w:r w:rsidR="000850FD" w:rsidRPr="000850FD">
        <w:rPr>
          <w:rFonts w:ascii="宋体" w:hAnsi="宋体" w:hint="eastAsia"/>
          <w:sz w:val="24"/>
        </w:rPr>
        <w:t>次</w:t>
      </w:r>
      <w:r w:rsidR="005121F5" w:rsidRPr="000850FD">
        <w:rPr>
          <w:rFonts w:ascii="宋体" w:hAnsi="宋体"/>
          <w:sz w:val="24"/>
        </w:rPr>
        <w:t>会议审议通过</w:t>
      </w:r>
      <w:r w:rsidR="005D347F">
        <w:rPr>
          <w:rFonts w:ascii="宋体" w:hAnsi="宋体" w:hint="eastAsia"/>
          <w:sz w:val="24"/>
        </w:rPr>
        <w:t>。本次关联交易金额占公司最近一期经审计净资产绝对值5%以上，</w:t>
      </w:r>
      <w:r w:rsidR="00590B57" w:rsidRPr="00590B57">
        <w:rPr>
          <w:rFonts w:ascii="宋体" w:hAnsi="宋体" w:hint="eastAsia"/>
          <w:sz w:val="24"/>
        </w:rPr>
        <w:t>但由于本次关联交易出资双方均按持股比例对标的公司以现金方式进行增资</w:t>
      </w:r>
      <w:r w:rsidR="00590B57">
        <w:rPr>
          <w:rFonts w:ascii="宋体" w:hAnsi="宋体" w:hint="eastAsia"/>
          <w:sz w:val="24"/>
        </w:rPr>
        <w:t>，</w:t>
      </w:r>
      <w:r w:rsidR="005D347F" w:rsidRPr="00F73FCA">
        <w:rPr>
          <w:rFonts w:ascii="宋体" w:hAnsi="宋体"/>
          <w:sz w:val="24"/>
        </w:rPr>
        <w:t>根据《</w:t>
      </w:r>
      <w:r w:rsidR="005D347F">
        <w:rPr>
          <w:rFonts w:ascii="宋体" w:hAnsi="宋体" w:hint="eastAsia"/>
          <w:sz w:val="24"/>
        </w:rPr>
        <w:t>上海证券交易所</w:t>
      </w:r>
      <w:r w:rsidR="005D347F" w:rsidRPr="00F73FCA">
        <w:rPr>
          <w:rFonts w:ascii="宋体" w:hAnsi="宋体"/>
          <w:sz w:val="24"/>
        </w:rPr>
        <w:t>股票上市规则》</w:t>
      </w:r>
      <w:r w:rsidR="005D347F">
        <w:rPr>
          <w:rFonts w:ascii="宋体" w:hAnsi="宋体" w:hint="eastAsia"/>
          <w:sz w:val="24"/>
        </w:rPr>
        <w:t>第1</w:t>
      </w:r>
      <w:r w:rsidR="005D347F">
        <w:rPr>
          <w:rFonts w:ascii="宋体" w:hAnsi="宋体"/>
          <w:sz w:val="24"/>
        </w:rPr>
        <w:t>0.2.7</w:t>
      </w:r>
      <w:r w:rsidR="005D347F">
        <w:rPr>
          <w:rFonts w:ascii="宋体" w:hAnsi="宋体" w:hint="eastAsia"/>
          <w:sz w:val="24"/>
        </w:rPr>
        <w:t>条</w:t>
      </w:r>
      <w:r w:rsidR="005D347F" w:rsidRPr="00F73FCA">
        <w:rPr>
          <w:rFonts w:ascii="宋体" w:hAnsi="宋体"/>
          <w:sz w:val="24"/>
        </w:rPr>
        <w:t>的规定，本次关联交易</w:t>
      </w:r>
      <w:r w:rsidR="005D347F">
        <w:rPr>
          <w:rFonts w:ascii="宋体" w:hAnsi="宋体" w:hint="eastAsia"/>
          <w:sz w:val="24"/>
        </w:rPr>
        <w:t>可申请</w:t>
      </w:r>
      <w:r w:rsidR="005D347F" w:rsidRPr="00F73FCA">
        <w:rPr>
          <w:rFonts w:ascii="宋体" w:hAnsi="宋体"/>
          <w:sz w:val="24"/>
        </w:rPr>
        <w:t>豁免提交公司股东大会审议。</w:t>
      </w:r>
      <w:r w:rsidR="005D347F">
        <w:rPr>
          <w:rFonts w:ascii="宋体" w:hAnsi="宋体" w:hint="eastAsia"/>
          <w:sz w:val="24"/>
        </w:rPr>
        <w:t>截至本公告披露之日，公司已按照有关规定完成相关豁免程序。</w:t>
      </w:r>
    </w:p>
    <w:p w14:paraId="0879D18B" w14:textId="2A80961B" w:rsidR="00C17B7A" w:rsidRPr="005121F5" w:rsidRDefault="00B4026B" w:rsidP="00C17B7A">
      <w:pPr>
        <w:pStyle w:val="af5"/>
        <w:numPr>
          <w:ilvl w:val="0"/>
          <w:numId w:val="1"/>
        </w:numPr>
        <w:adjustRightInd w:val="0"/>
        <w:snapToGrid w:val="0"/>
        <w:spacing w:afterLines="50" w:after="156" w:line="480" w:lineRule="exact"/>
        <w:ind w:left="0" w:firstLineChars="0" w:firstLine="480"/>
        <w:rPr>
          <w:rFonts w:ascii="宋体" w:hAnsi="宋体"/>
          <w:sz w:val="24"/>
        </w:rPr>
      </w:pPr>
      <w:r w:rsidRPr="00EA202D">
        <w:rPr>
          <w:rFonts w:ascii="宋体" w:hAnsi="宋体" w:hint="eastAsia"/>
          <w:sz w:val="24"/>
        </w:rPr>
        <w:t>关联交易回顾：</w:t>
      </w:r>
      <w:r w:rsidR="00C17B7A" w:rsidRPr="00EA202D">
        <w:rPr>
          <w:rFonts w:ascii="宋体" w:hAnsi="宋体" w:hint="eastAsia"/>
          <w:sz w:val="24"/>
        </w:rPr>
        <w:t>过去12个月内，</w:t>
      </w:r>
      <w:r w:rsidR="00BA6CE7" w:rsidRPr="00BA6CE7">
        <w:rPr>
          <w:rFonts w:ascii="宋体" w:hAnsi="宋体"/>
          <w:sz w:val="24"/>
        </w:rPr>
        <w:t>公司及其控股子公司和</w:t>
      </w:r>
      <w:r w:rsidR="005121F5">
        <w:rPr>
          <w:rFonts w:ascii="宋体" w:hAnsi="宋体" w:hint="eastAsia"/>
          <w:sz w:val="24"/>
        </w:rPr>
        <w:t>控股股东</w:t>
      </w:r>
      <w:r w:rsidR="006302E9">
        <w:rPr>
          <w:rFonts w:ascii="宋体" w:hAnsi="宋体" w:hint="eastAsia"/>
          <w:sz w:val="24"/>
        </w:rPr>
        <w:t>陆家嘴集团</w:t>
      </w:r>
      <w:r w:rsidR="005121F5">
        <w:rPr>
          <w:rFonts w:ascii="宋体" w:hAnsi="宋体" w:hint="eastAsia"/>
          <w:sz w:val="24"/>
        </w:rPr>
        <w:t>之间</w:t>
      </w:r>
      <w:r w:rsidR="00BA6CE7" w:rsidRPr="00BA6CE7">
        <w:rPr>
          <w:rFonts w:ascii="宋体" w:hAnsi="宋体"/>
          <w:sz w:val="24"/>
        </w:rPr>
        <w:t>发生</w:t>
      </w:r>
      <w:r w:rsidR="005121F5">
        <w:rPr>
          <w:rFonts w:ascii="宋体" w:hAnsi="宋体" w:hint="eastAsia"/>
          <w:sz w:val="24"/>
        </w:rPr>
        <w:t>的</w:t>
      </w:r>
      <w:r w:rsidR="00BA6CE7" w:rsidRPr="00BA6CE7">
        <w:rPr>
          <w:rFonts w:ascii="宋体" w:hAnsi="宋体"/>
          <w:sz w:val="24"/>
        </w:rPr>
        <w:t>关联交易，详见后文。</w:t>
      </w:r>
    </w:p>
    <w:p w14:paraId="73E33D1E" w14:textId="77777777" w:rsidR="00133FB9" w:rsidRDefault="00133FB9" w:rsidP="00133FB9">
      <w:pPr>
        <w:pStyle w:val="af5"/>
        <w:adjustRightInd w:val="0"/>
        <w:snapToGrid w:val="0"/>
        <w:spacing w:afterLines="50" w:after="156" w:line="480" w:lineRule="exact"/>
        <w:ind w:left="480" w:firstLineChars="0" w:firstLine="0"/>
        <w:rPr>
          <w:rFonts w:ascii="Arial Unicode MS" w:hAnsi="Arial Unicode MS"/>
          <w:sz w:val="24"/>
        </w:rPr>
      </w:pPr>
    </w:p>
    <w:p w14:paraId="49C36F47" w14:textId="0FA26327" w:rsidR="00B224E3" w:rsidRPr="00947E07" w:rsidRDefault="0042268D" w:rsidP="006015E4">
      <w:pPr>
        <w:pStyle w:val="af5"/>
        <w:numPr>
          <w:ilvl w:val="0"/>
          <w:numId w:val="7"/>
        </w:numPr>
        <w:adjustRightInd w:val="0"/>
        <w:snapToGrid w:val="0"/>
        <w:spacing w:afterLines="50" w:after="156" w:line="480" w:lineRule="exact"/>
        <w:ind w:firstLineChars="0"/>
        <w:rPr>
          <w:rFonts w:ascii="宋体" w:hAnsi="宋体"/>
          <w:b/>
          <w:sz w:val="24"/>
        </w:rPr>
      </w:pPr>
      <w:r w:rsidRPr="00947E07">
        <w:rPr>
          <w:rFonts w:ascii="宋体" w:hAnsi="宋体" w:hint="eastAsia"/>
          <w:b/>
          <w:sz w:val="24"/>
        </w:rPr>
        <w:lastRenderedPageBreak/>
        <w:t>关联</w:t>
      </w:r>
      <w:r w:rsidR="00403DC4" w:rsidRPr="00947E07">
        <w:rPr>
          <w:rFonts w:ascii="宋体" w:hAnsi="宋体" w:hint="eastAsia"/>
          <w:b/>
          <w:sz w:val="24"/>
        </w:rPr>
        <w:t>交易</w:t>
      </w:r>
      <w:r w:rsidR="005459E2" w:rsidRPr="00947E07">
        <w:rPr>
          <w:rFonts w:ascii="宋体" w:hAnsi="宋体"/>
          <w:b/>
          <w:sz w:val="24"/>
        </w:rPr>
        <w:t>概述</w:t>
      </w:r>
    </w:p>
    <w:p w14:paraId="32EB811D" w14:textId="64641326" w:rsidR="00590B57" w:rsidRDefault="00590B57" w:rsidP="00590B57">
      <w:pPr>
        <w:adjustRightInd w:val="0"/>
        <w:snapToGrid w:val="0"/>
        <w:spacing w:after="50" w:line="480" w:lineRule="exact"/>
        <w:ind w:firstLineChars="200" w:firstLine="480"/>
        <w:rPr>
          <w:rFonts w:ascii="宋体" w:hAnsi="宋体"/>
          <w:sz w:val="24"/>
        </w:rPr>
      </w:pPr>
      <w:r w:rsidRPr="00590B57">
        <w:rPr>
          <w:rFonts w:ascii="宋体" w:hAnsi="宋体" w:cs="Calibri" w:hint="eastAsia"/>
          <w:kern w:val="0"/>
          <w:sz w:val="24"/>
        </w:rPr>
        <w:t>为满足东</w:t>
      </w:r>
      <w:proofErr w:type="gramStart"/>
      <w:r w:rsidRPr="00590B57">
        <w:rPr>
          <w:rFonts w:ascii="宋体" w:hAnsi="宋体" w:cs="Calibri" w:hint="eastAsia"/>
          <w:kern w:val="0"/>
          <w:sz w:val="24"/>
        </w:rPr>
        <w:t>翌</w:t>
      </w:r>
      <w:proofErr w:type="gramEnd"/>
      <w:r w:rsidRPr="00590B57">
        <w:rPr>
          <w:rFonts w:ascii="宋体" w:hAnsi="宋体" w:cs="Calibri" w:hint="eastAsia"/>
          <w:kern w:val="0"/>
          <w:sz w:val="24"/>
        </w:rPr>
        <w:t>置业</w:t>
      </w:r>
      <w:r w:rsidR="00AA6188">
        <w:rPr>
          <w:rFonts w:ascii="宋体" w:hAnsi="宋体" w:cs="Calibri" w:hint="eastAsia"/>
          <w:kern w:val="0"/>
          <w:sz w:val="24"/>
        </w:rPr>
        <w:t>的</w:t>
      </w:r>
      <w:r w:rsidRPr="00590B57">
        <w:rPr>
          <w:rFonts w:ascii="宋体" w:hAnsi="宋体" w:cs="Calibri" w:hint="eastAsia"/>
          <w:kern w:val="0"/>
          <w:sz w:val="24"/>
        </w:rPr>
        <w:t>业务发展需要，</w:t>
      </w:r>
      <w:r w:rsidR="002D169E" w:rsidRPr="006015E4">
        <w:rPr>
          <w:rFonts w:ascii="宋体" w:hAnsi="宋体" w:hint="eastAsia"/>
          <w:sz w:val="24"/>
        </w:rPr>
        <w:t>公司</w:t>
      </w:r>
      <w:r>
        <w:rPr>
          <w:rFonts w:ascii="宋体" w:hAnsi="宋体" w:hint="eastAsia"/>
          <w:sz w:val="24"/>
        </w:rPr>
        <w:t>与陆家嘴集团按持股比例共同对东</w:t>
      </w:r>
      <w:proofErr w:type="gramStart"/>
      <w:r>
        <w:rPr>
          <w:rFonts w:ascii="宋体" w:hAnsi="宋体" w:hint="eastAsia"/>
          <w:sz w:val="24"/>
        </w:rPr>
        <w:t>翌</w:t>
      </w:r>
      <w:proofErr w:type="gramEnd"/>
      <w:r>
        <w:rPr>
          <w:rFonts w:ascii="宋体" w:hAnsi="宋体" w:hint="eastAsia"/>
          <w:sz w:val="24"/>
        </w:rPr>
        <w:t>置业以现金方式进行增资，</w:t>
      </w:r>
      <w:bookmarkStart w:id="0" w:name="_Hlk21788360"/>
      <w:r>
        <w:rPr>
          <w:rFonts w:ascii="宋体" w:hAnsi="宋体" w:hint="eastAsia"/>
          <w:sz w:val="24"/>
        </w:rPr>
        <w:t>其中公司持有东</w:t>
      </w:r>
      <w:proofErr w:type="gramStart"/>
      <w:r>
        <w:rPr>
          <w:rFonts w:ascii="宋体" w:hAnsi="宋体" w:hint="eastAsia"/>
          <w:sz w:val="24"/>
        </w:rPr>
        <w:t>翌</w:t>
      </w:r>
      <w:proofErr w:type="gramEnd"/>
      <w:r>
        <w:rPr>
          <w:rFonts w:ascii="宋体" w:hAnsi="宋体" w:hint="eastAsia"/>
          <w:sz w:val="24"/>
        </w:rPr>
        <w:t>置业6</w:t>
      </w:r>
      <w:r>
        <w:rPr>
          <w:rFonts w:ascii="宋体" w:hAnsi="宋体"/>
          <w:sz w:val="24"/>
        </w:rPr>
        <w:t>0</w:t>
      </w:r>
      <w:r>
        <w:rPr>
          <w:rFonts w:ascii="宋体" w:hAnsi="宋体" w:hint="eastAsia"/>
          <w:sz w:val="24"/>
        </w:rPr>
        <w:t>%股权，出资人民币</w:t>
      </w:r>
      <w:r>
        <w:rPr>
          <w:rFonts w:ascii="宋体" w:hAnsi="宋体"/>
          <w:sz w:val="24"/>
        </w:rPr>
        <w:t>120</w:t>
      </w:r>
      <w:r>
        <w:rPr>
          <w:rFonts w:ascii="宋体" w:hAnsi="宋体" w:hint="eastAsia"/>
          <w:sz w:val="24"/>
        </w:rPr>
        <w:t>,</w:t>
      </w:r>
      <w:r>
        <w:rPr>
          <w:rFonts w:ascii="宋体" w:hAnsi="宋体"/>
          <w:sz w:val="24"/>
        </w:rPr>
        <w:t>000</w:t>
      </w:r>
      <w:r>
        <w:rPr>
          <w:rFonts w:ascii="宋体" w:hAnsi="宋体" w:hint="eastAsia"/>
          <w:sz w:val="24"/>
        </w:rPr>
        <w:t>万元；陆家嘴集团持有东</w:t>
      </w:r>
      <w:proofErr w:type="gramStart"/>
      <w:r>
        <w:rPr>
          <w:rFonts w:ascii="宋体" w:hAnsi="宋体" w:hint="eastAsia"/>
          <w:sz w:val="24"/>
        </w:rPr>
        <w:t>翌</w:t>
      </w:r>
      <w:proofErr w:type="gramEnd"/>
      <w:r>
        <w:rPr>
          <w:rFonts w:ascii="宋体" w:hAnsi="宋体" w:hint="eastAsia"/>
          <w:sz w:val="24"/>
        </w:rPr>
        <w:t>置业4</w:t>
      </w:r>
      <w:r>
        <w:rPr>
          <w:rFonts w:ascii="宋体" w:hAnsi="宋体"/>
          <w:sz w:val="24"/>
        </w:rPr>
        <w:t>0</w:t>
      </w:r>
      <w:r>
        <w:rPr>
          <w:rFonts w:ascii="宋体" w:hAnsi="宋体" w:hint="eastAsia"/>
          <w:sz w:val="24"/>
        </w:rPr>
        <w:t>%股权，出资人民币</w:t>
      </w:r>
      <w:r>
        <w:rPr>
          <w:rFonts w:ascii="宋体" w:hAnsi="宋体"/>
          <w:sz w:val="24"/>
        </w:rPr>
        <w:t>80</w:t>
      </w:r>
      <w:r>
        <w:rPr>
          <w:rFonts w:ascii="宋体" w:hAnsi="宋体" w:hint="eastAsia"/>
          <w:sz w:val="24"/>
        </w:rPr>
        <w:t>,</w:t>
      </w:r>
      <w:r>
        <w:rPr>
          <w:rFonts w:ascii="宋体" w:hAnsi="宋体"/>
          <w:sz w:val="24"/>
        </w:rPr>
        <w:t>000</w:t>
      </w:r>
      <w:r>
        <w:rPr>
          <w:rFonts w:ascii="宋体" w:hAnsi="宋体" w:hint="eastAsia"/>
          <w:sz w:val="24"/>
        </w:rPr>
        <w:t>万元。本次增资完成后，东</w:t>
      </w:r>
      <w:proofErr w:type="gramStart"/>
      <w:r>
        <w:rPr>
          <w:rFonts w:ascii="宋体" w:hAnsi="宋体" w:hint="eastAsia"/>
          <w:sz w:val="24"/>
        </w:rPr>
        <w:t>翌</w:t>
      </w:r>
      <w:proofErr w:type="gramEnd"/>
      <w:r>
        <w:rPr>
          <w:rFonts w:ascii="宋体" w:hAnsi="宋体" w:hint="eastAsia"/>
          <w:sz w:val="24"/>
        </w:rPr>
        <w:t>置业的注册资本金将由人民币</w:t>
      </w:r>
      <w:r>
        <w:rPr>
          <w:rFonts w:ascii="宋体" w:hAnsi="宋体"/>
          <w:sz w:val="24"/>
        </w:rPr>
        <w:t>750</w:t>
      </w:r>
      <w:r>
        <w:rPr>
          <w:rFonts w:ascii="宋体" w:hAnsi="宋体" w:hint="eastAsia"/>
          <w:sz w:val="24"/>
        </w:rPr>
        <w:t>,</w:t>
      </w:r>
      <w:r>
        <w:rPr>
          <w:rFonts w:ascii="宋体" w:hAnsi="宋体"/>
          <w:sz w:val="24"/>
        </w:rPr>
        <w:t>000</w:t>
      </w:r>
      <w:r>
        <w:rPr>
          <w:rFonts w:ascii="宋体" w:hAnsi="宋体" w:hint="eastAsia"/>
          <w:sz w:val="24"/>
        </w:rPr>
        <w:t>万元增加到人民币</w:t>
      </w:r>
      <w:r>
        <w:rPr>
          <w:rFonts w:ascii="宋体" w:hAnsi="宋体"/>
          <w:sz w:val="24"/>
        </w:rPr>
        <w:t>950</w:t>
      </w:r>
      <w:r>
        <w:rPr>
          <w:rFonts w:ascii="宋体" w:hAnsi="宋体" w:hint="eastAsia"/>
          <w:sz w:val="24"/>
        </w:rPr>
        <w:t>,</w:t>
      </w:r>
      <w:r>
        <w:rPr>
          <w:rFonts w:ascii="宋体" w:hAnsi="宋体"/>
          <w:sz w:val="24"/>
        </w:rPr>
        <w:t>000</w:t>
      </w:r>
      <w:r>
        <w:rPr>
          <w:rFonts w:ascii="宋体" w:hAnsi="宋体" w:hint="eastAsia"/>
          <w:sz w:val="24"/>
        </w:rPr>
        <w:t>万元，股东双方持股比例不变</w:t>
      </w:r>
      <w:bookmarkEnd w:id="0"/>
      <w:r>
        <w:rPr>
          <w:rFonts w:ascii="宋体" w:hAnsi="宋体" w:hint="eastAsia"/>
          <w:sz w:val="24"/>
        </w:rPr>
        <w:t>。</w:t>
      </w:r>
    </w:p>
    <w:p w14:paraId="6BB4136A" w14:textId="4A894462" w:rsidR="00F93452" w:rsidRDefault="00F93452" w:rsidP="0020249A">
      <w:pPr>
        <w:pStyle w:val="af5"/>
        <w:adjustRightInd w:val="0"/>
        <w:snapToGrid w:val="0"/>
        <w:spacing w:afterLines="50" w:after="156" w:line="480" w:lineRule="exact"/>
        <w:ind w:firstLine="480"/>
        <w:rPr>
          <w:rFonts w:ascii="宋体" w:hAnsi="宋体"/>
          <w:sz w:val="24"/>
        </w:rPr>
      </w:pPr>
      <w:r>
        <w:rPr>
          <w:rFonts w:ascii="宋体" w:hAnsi="宋体" w:hint="eastAsia"/>
          <w:sz w:val="24"/>
        </w:rPr>
        <w:t>陆家嘴集团为公司的控股股东，</w:t>
      </w:r>
      <w:r w:rsidR="00AA6188" w:rsidRPr="00AA6188">
        <w:rPr>
          <w:rFonts w:ascii="宋体" w:hAnsi="宋体" w:hint="eastAsia"/>
          <w:sz w:val="24"/>
        </w:rPr>
        <w:t>根据《上海证券交易所股票上市规则》、《上海证券交易所上市公司关联交易实施指引》的相关规定，陆家嘴集团为公司的关联法人，</w:t>
      </w:r>
      <w:r w:rsidR="000057DC">
        <w:rPr>
          <w:rFonts w:ascii="宋体" w:hAnsi="宋体" w:hint="eastAsia"/>
          <w:sz w:val="24"/>
        </w:rPr>
        <w:t>本次</w:t>
      </w:r>
      <w:r w:rsidR="00AA6188" w:rsidRPr="00AA6188">
        <w:rPr>
          <w:rFonts w:ascii="宋体" w:hAnsi="宋体" w:hint="eastAsia"/>
          <w:sz w:val="24"/>
        </w:rPr>
        <w:t>交易构成关联交易。</w:t>
      </w:r>
    </w:p>
    <w:p w14:paraId="0C30283C" w14:textId="6A365F00" w:rsidR="00895D7A" w:rsidRDefault="002D169E" w:rsidP="0020249A">
      <w:pPr>
        <w:pStyle w:val="af5"/>
        <w:adjustRightInd w:val="0"/>
        <w:snapToGrid w:val="0"/>
        <w:spacing w:afterLines="50" w:after="156" w:line="480" w:lineRule="exact"/>
        <w:ind w:firstLineChars="177" w:firstLine="425"/>
        <w:rPr>
          <w:sz w:val="24"/>
        </w:rPr>
      </w:pPr>
      <w:r w:rsidRPr="002D169E">
        <w:rPr>
          <w:rFonts w:ascii="宋体" w:hAnsi="宋体"/>
          <w:sz w:val="24"/>
          <w:szCs w:val="24"/>
        </w:rPr>
        <w:t>本次交易</w:t>
      </w:r>
      <w:r w:rsidR="007E4731">
        <w:rPr>
          <w:rFonts w:hint="eastAsia"/>
          <w:sz w:val="24"/>
        </w:rPr>
        <w:t>不构成《上市公司重大资产重组管理办法》规定的重大资产重组</w:t>
      </w:r>
      <w:r w:rsidR="0028051A" w:rsidRPr="00403DC4">
        <w:rPr>
          <w:rFonts w:hint="eastAsia"/>
          <w:sz w:val="24"/>
        </w:rPr>
        <w:t>。</w:t>
      </w:r>
    </w:p>
    <w:p w14:paraId="42E770FF" w14:textId="77777777" w:rsidR="0020249A" w:rsidRPr="0020249A" w:rsidRDefault="0020249A" w:rsidP="0020249A">
      <w:pPr>
        <w:pStyle w:val="af5"/>
        <w:adjustRightInd w:val="0"/>
        <w:snapToGrid w:val="0"/>
        <w:spacing w:afterLines="50" w:after="156" w:line="480" w:lineRule="exact"/>
        <w:ind w:firstLineChars="177" w:firstLine="425"/>
        <w:rPr>
          <w:sz w:val="24"/>
        </w:rPr>
      </w:pPr>
    </w:p>
    <w:p w14:paraId="6E2A4108" w14:textId="41973741" w:rsidR="00ED46B5" w:rsidRDefault="00ED46B5" w:rsidP="005459E2">
      <w:pPr>
        <w:adjustRightInd w:val="0"/>
        <w:snapToGrid w:val="0"/>
        <w:spacing w:afterLines="50" w:after="156" w:line="480" w:lineRule="exact"/>
        <w:ind w:firstLineChars="200" w:firstLine="482"/>
        <w:rPr>
          <w:rFonts w:ascii="宋体" w:hAnsi="宋体"/>
          <w:b/>
          <w:sz w:val="24"/>
        </w:rPr>
      </w:pPr>
      <w:r>
        <w:rPr>
          <w:rFonts w:ascii="宋体" w:hAnsi="宋体" w:hint="eastAsia"/>
          <w:b/>
          <w:sz w:val="24"/>
        </w:rPr>
        <w:t>二、关联方介绍</w:t>
      </w:r>
    </w:p>
    <w:p w14:paraId="25AE46B2"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（一）关联方名称：上海陆家嘴（集团）有限公司</w:t>
      </w:r>
    </w:p>
    <w:p w14:paraId="29DAD928"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（二）注册号/统一社会信用代码：91310000132206713C</w:t>
      </w:r>
    </w:p>
    <w:p w14:paraId="4BC999BD"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（三）住所：中国（上海）自由贸易试验区浦东大道981号</w:t>
      </w:r>
    </w:p>
    <w:p w14:paraId="101BC912"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（四）法定代表人：李晋昭</w:t>
      </w:r>
    </w:p>
    <w:p w14:paraId="14FD701D"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（五）注册资本：人民币235,731万元</w:t>
      </w:r>
    </w:p>
    <w:p w14:paraId="59C2C154"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（六）公司类型：有限责任公司（国有独资）</w:t>
      </w:r>
    </w:p>
    <w:p w14:paraId="1F7FA795"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（七）经营范围：房地产开发经营，市政基础设施，建设投资，投资咨询，实体投资，国内贸易（除专项规定），资产管理经营、信息。</w:t>
      </w:r>
    </w:p>
    <w:p w14:paraId="1C5BD848" w14:textId="538244BA" w:rsidR="00947E07"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截至2019年末，上海陆家嘴（集团）有限公司合并报表中的总资产为人民币16,300,837.80万元，归属于母公司所有者权益合计为人民币2,636,437.12万元，2019年度营业总收入为人民币1,895,310.98万元</w:t>
      </w:r>
      <w:r w:rsidRPr="00F40CB5">
        <w:rPr>
          <w:rFonts w:ascii="宋体" w:hAnsi="宋体" w:hint="eastAsia"/>
          <w:sz w:val="24"/>
        </w:rPr>
        <w:t>（经审计）</w:t>
      </w:r>
      <w:r w:rsidRPr="00AA6188">
        <w:rPr>
          <w:rFonts w:ascii="宋体" w:hAnsi="宋体" w:hint="eastAsia"/>
          <w:sz w:val="24"/>
        </w:rPr>
        <w:t>。</w:t>
      </w:r>
    </w:p>
    <w:p w14:paraId="4B308965" w14:textId="578301DE" w:rsidR="00AA6188" w:rsidRDefault="00AA6188">
      <w:pPr>
        <w:widowControl/>
        <w:jc w:val="left"/>
        <w:rPr>
          <w:rFonts w:ascii="Arial Unicode MS" w:hAnsi="Arial Unicode MS"/>
          <w:color w:val="000000"/>
          <w:sz w:val="24"/>
        </w:rPr>
      </w:pPr>
      <w:r>
        <w:rPr>
          <w:rFonts w:ascii="Arial Unicode MS" w:hAnsi="Arial Unicode MS"/>
          <w:color w:val="000000"/>
          <w:sz w:val="24"/>
        </w:rPr>
        <w:br w:type="page"/>
      </w:r>
    </w:p>
    <w:p w14:paraId="4F8096A8" w14:textId="398AA4E0" w:rsidR="001F394F" w:rsidRPr="002B47CC" w:rsidRDefault="001F394F" w:rsidP="001F394F">
      <w:pPr>
        <w:adjustRightInd w:val="0"/>
        <w:snapToGrid w:val="0"/>
        <w:spacing w:afterLines="50" w:after="156" w:line="480" w:lineRule="exact"/>
        <w:ind w:firstLineChars="200" w:firstLine="482"/>
        <w:rPr>
          <w:b/>
          <w:sz w:val="24"/>
        </w:rPr>
      </w:pPr>
      <w:r w:rsidRPr="00947E07">
        <w:rPr>
          <w:b/>
          <w:sz w:val="24"/>
        </w:rPr>
        <w:t>三、交易标的基本情况</w:t>
      </w:r>
    </w:p>
    <w:p w14:paraId="1B028B68" w14:textId="77777777" w:rsidR="00AA6188" w:rsidRPr="00155776" w:rsidRDefault="00AA6188" w:rsidP="00AA6188">
      <w:pPr>
        <w:adjustRightInd w:val="0"/>
        <w:snapToGrid w:val="0"/>
        <w:spacing w:line="520" w:lineRule="atLeast"/>
        <w:ind w:firstLineChars="187" w:firstLine="449"/>
        <w:rPr>
          <w:rFonts w:ascii="宋体" w:hAnsi="宋体"/>
          <w:sz w:val="24"/>
        </w:rPr>
      </w:pPr>
      <w:r w:rsidRPr="00155776">
        <w:rPr>
          <w:rFonts w:ascii="宋体" w:hAnsi="宋体" w:hint="eastAsia"/>
          <w:sz w:val="24"/>
        </w:rPr>
        <w:t>（一）公司名称：上海东翌置业有限公司</w:t>
      </w:r>
    </w:p>
    <w:p w14:paraId="4BAADB4A" w14:textId="77777777" w:rsidR="00AA6188"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（二）统一社会信用代码：</w:t>
      </w:r>
      <w:r w:rsidRPr="002D0B6B">
        <w:rPr>
          <w:rFonts w:ascii="宋体" w:hAnsi="宋体" w:hint="eastAsia"/>
          <w:sz w:val="24"/>
        </w:rPr>
        <w:t>91310115MA1K4BMC7T</w:t>
      </w:r>
    </w:p>
    <w:p w14:paraId="74AB7CCC" w14:textId="77777777" w:rsidR="00AA6188"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（三）</w:t>
      </w:r>
      <w:r w:rsidRPr="0069567A">
        <w:rPr>
          <w:rFonts w:ascii="宋体" w:hAnsi="宋体" w:hint="eastAsia"/>
          <w:sz w:val="24"/>
        </w:rPr>
        <w:t>住所：</w:t>
      </w:r>
      <w:r w:rsidRPr="00574F6B">
        <w:rPr>
          <w:rFonts w:ascii="宋体" w:hAnsi="宋体" w:hint="eastAsia"/>
          <w:sz w:val="24"/>
        </w:rPr>
        <w:t>中国(上海)自由贸易试验区芳春路400号1幢3层</w:t>
      </w:r>
    </w:p>
    <w:p w14:paraId="71DF92EB" w14:textId="77777777" w:rsidR="00AA6188" w:rsidRPr="0069567A"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（四）成立日期：2</w:t>
      </w:r>
      <w:r>
        <w:rPr>
          <w:rFonts w:ascii="宋体" w:hAnsi="宋体"/>
          <w:sz w:val="24"/>
        </w:rPr>
        <w:t>01</w:t>
      </w:r>
      <w:r>
        <w:rPr>
          <w:rFonts w:ascii="宋体" w:hAnsi="宋体" w:hint="eastAsia"/>
          <w:sz w:val="24"/>
        </w:rPr>
        <w:t>9年4月29日</w:t>
      </w:r>
    </w:p>
    <w:p w14:paraId="29144878" w14:textId="77777777" w:rsidR="00AA6188" w:rsidRPr="0069567A"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（五）</w:t>
      </w:r>
      <w:r w:rsidRPr="0069567A">
        <w:rPr>
          <w:rFonts w:ascii="宋体" w:hAnsi="宋体" w:hint="eastAsia"/>
          <w:sz w:val="24"/>
        </w:rPr>
        <w:t>法定代表人：徐而进</w:t>
      </w:r>
    </w:p>
    <w:p w14:paraId="0A2CEA41" w14:textId="77777777" w:rsidR="00AA6188" w:rsidRPr="0069567A"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（六）</w:t>
      </w:r>
      <w:r w:rsidRPr="0069567A">
        <w:rPr>
          <w:rFonts w:ascii="宋体" w:hAnsi="宋体" w:hint="eastAsia"/>
          <w:sz w:val="24"/>
        </w:rPr>
        <w:t>注册资本：</w:t>
      </w:r>
      <w:r>
        <w:rPr>
          <w:rFonts w:ascii="宋体" w:hAnsi="宋体" w:hint="eastAsia"/>
          <w:sz w:val="24"/>
        </w:rPr>
        <w:t>人民币</w:t>
      </w:r>
      <w:r w:rsidRPr="00574F6B">
        <w:rPr>
          <w:rFonts w:ascii="宋体" w:hAnsi="宋体" w:hint="eastAsia"/>
          <w:sz w:val="24"/>
        </w:rPr>
        <w:t>750</w:t>
      </w:r>
      <w:r>
        <w:rPr>
          <w:rFonts w:ascii="宋体" w:hAnsi="宋体" w:hint="eastAsia"/>
          <w:sz w:val="24"/>
        </w:rPr>
        <w:t>,</w:t>
      </w:r>
      <w:r w:rsidRPr="00574F6B">
        <w:rPr>
          <w:rFonts w:ascii="宋体" w:hAnsi="宋体" w:hint="eastAsia"/>
          <w:sz w:val="24"/>
        </w:rPr>
        <w:t>000</w:t>
      </w:r>
      <w:r w:rsidRPr="0069567A">
        <w:rPr>
          <w:rFonts w:ascii="宋体" w:hAnsi="宋体" w:hint="eastAsia"/>
          <w:sz w:val="24"/>
        </w:rPr>
        <w:t>万元</w:t>
      </w:r>
    </w:p>
    <w:p w14:paraId="78237E1A" w14:textId="77777777" w:rsidR="00AA6188"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（七）</w:t>
      </w:r>
      <w:r w:rsidRPr="0069567A">
        <w:rPr>
          <w:rFonts w:ascii="宋体" w:hAnsi="宋体" w:hint="eastAsia"/>
          <w:sz w:val="24"/>
        </w:rPr>
        <w:t>公司类型：有限责任公司</w:t>
      </w:r>
    </w:p>
    <w:p w14:paraId="04A99805" w14:textId="77777777" w:rsidR="00AA6188"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（八）</w:t>
      </w:r>
      <w:r w:rsidRPr="0069567A">
        <w:rPr>
          <w:rFonts w:ascii="宋体" w:hAnsi="宋体" w:hint="eastAsia"/>
          <w:sz w:val="24"/>
        </w:rPr>
        <w:t>经营范围：</w:t>
      </w:r>
      <w:r w:rsidRPr="00BE564F">
        <w:rPr>
          <w:rFonts w:ascii="宋体" w:hAnsi="宋体" w:hint="eastAsia"/>
          <w:sz w:val="24"/>
        </w:rPr>
        <w:t>房地产开发、经营，从事货物与技术的进出口业务，物业管理，停车场（库）经营，机电安装建设工程施工，市政公用建设工程施工，市政专业建设工程设计，园林绿化工程施工</w:t>
      </w:r>
      <w:r w:rsidRPr="0069567A">
        <w:rPr>
          <w:rFonts w:ascii="宋体" w:hAnsi="宋体" w:hint="eastAsia"/>
          <w:sz w:val="24"/>
        </w:rPr>
        <w:t>。（依法须经批准的项目，经相关部门批准后方可开展经营活动）</w:t>
      </w:r>
    </w:p>
    <w:p w14:paraId="7939B2EF" w14:textId="77777777" w:rsidR="00AA6188" w:rsidRDefault="00AA6188" w:rsidP="00AA6188">
      <w:pPr>
        <w:adjustRightInd w:val="0"/>
        <w:snapToGrid w:val="0"/>
        <w:spacing w:after="50" w:line="480" w:lineRule="exact"/>
        <w:ind w:firstLineChars="200" w:firstLine="480"/>
        <w:rPr>
          <w:rFonts w:ascii="宋体" w:hAnsi="宋体"/>
          <w:sz w:val="24"/>
        </w:rPr>
      </w:pPr>
      <w:r>
        <w:rPr>
          <w:rFonts w:ascii="宋体" w:hAnsi="宋体" w:hint="eastAsia"/>
          <w:sz w:val="24"/>
        </w:rPr>
        <w:t xml:space="preserve">（九）股权结构 </w:t>
      </w:r>
      <w:r>
        <w:rPr>
          <w:rFonts w:ascii="宋体" w:hAnsi="宋体"/>
          <w:sz w:val="24"/>
        </w:rPr>
        <w:t xml:space="preserve">                         </w:t>
      </w:r>
      <w:r>
        <w:rPr>
          <w:rFonts w:ascii="宋体" w:hAnsi="宋体" w:hint="eastAsia"/>
          <w:sz w:val="24"/>
        </w:rPr>
        <w:t xml:space="preserve">币种：人民币 </w:t>
      </w:r>
      <w:r>
        <w:rPr>
          <w:rFonts w:ascii="宋体" w:hAnsi="宋体"/>
          <w:sz w:val="24"/>
        </w:rPr>
        <w:t xml:space="preserve">  </w:t>
      </w:r>
      <w:r>
        <w:rPr>
          <w:rFonts w:ascii="宋体" w:hAnsi="宋体" w:hint="eastAsia"/>
          <w:sz w:val="24"/>
        </w:rPr>
        <w:t>单位：万元</w:t>
      </w:r>
    </w:p>
    <w:tbl>
      <w:tblPr>
        <w:tblW w:w="89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7"/>
        <w:gridCol w:w="2693"/>
        <w:gridCol w:w="1418"/>
      </w:tblGrid>
      <w:tr w:rsidR="00AA6188" w14:paraId="074A2392" w14:textId="77777777" w:rsidTr="00C433A1">
        <w:trPr>
          <w:jc w:val="center"/>
        </w:trPr>
        <w:tc>
          <w:tcPr>
            <w:tcW w:w="4847" w:type="dxa"/>
            <w:shd w:val="clear" w:color="auto" w:fill="auto"/>
            <w:vAlign w:val="center"/>
          </w:tcPr>
          <w:p w14:paraId="359260BA" w14:textId="77777777" w:rsidR="00AA6188" w:rsidRPr="008A6C8E" w:rsidRDefault="00AA6188" w:rsidP="00C433A1">
            <w:pPr>
              <w:adjustRightInd w:val="0"/>
              <w:snapToGrid w:val="0"/>
              <w:spacing w:afterLines="50" w:after="156" w:line="480" w:lineRule="exact"/>
              <w:jc w:val="center"/>
              <w:rPr>
                <w:rFonts w:ascii="宋体" w:hAnsi="宋体"/>
                <w:sz w:val="24"/>
              </w:rPr>
            </w:pPr>
            <w:r w:rsidRPr="008A6C8E">
              <w:rPr>
                <w:rFonts w:ascii="宋体" w:hAnsi="宋体" w:hint="eastAsia"/>
                <w:sz w:val="24"/>
              </w:rPr>
              <w:t>股东名称</w:t>
            </w:r>
          </w:p>
        </w:tc>
        <w:tc>
          <w:tcPr>
            <w:tcW w:w="2693" w:type="dxa"/>
            <w:shd w:val="clear" w:color="auto" w:fill="auto"/>
            <w:vAlign w:val="center"/>
          </w:tcPr>
          <w:p w14:paraId="4B959A9C" w14:textId="77777777" w:rsidR="00AA6188" w:rsidRPr="008A6C8E" w:rsidRDefault="00AA6188" w:rsidP="00C433A1">
            <w:pPr>
              <w:adjustRightInd w:val="0"/>
              <w:snapToGrid w:val="0"/>
              <w:spacing w:afterLines="50" w:after="156" w:line="480" w:lineRule="exact"/>
              <w:jc w:val="center"/>
              <w:rPr>
                <w:rFonts w:ascii="宋体" w:hAnsi="宋体"/>
                <w:sz w:val="24"/>
              </w:rPr>
            </w:pPr>
            <w:r w:rsidRPr="008A6C8E">
              <w:rPr>
                <w:rFonts w:ascii="宋体" w:hAnsi="宋体" w:hint="eastAsia"/>
                <w:sz w:val="24"/>
              </w:rPr>
              <w:t>认缴出资额</w:t>
            </w:r>
          </w:p>
        </w:tc>
        <w:tc>
          <w:tcPr>
            <w:tcW w:w="1418" w:type="dxa"/>
            <w:shd w:val="clear" w:color="auto" w:fill="auto"/>
            <w:vAlign w:val="center"/>
          </w:tcPr>
          <w:p w14:paraId="455920BF" w14:textId="77777777" w:rsidR="00AA6188" w:rsidRPr="008A6C8E" w:rsidRDefault="00AA6188" w:rsidP="00C433A1">
            <w:pPr>
              <w:adjustRightInd w:val="0"/>
              <w:snapToGrid w:val="0"/>
              <w:spacing w:afterLines="50" w:after="156" w:line="480" w:lineRule="exact"/>
              <w:jc w:val="center"/>
              <w:rPr>
                <w:rFonts w:ascii="宋体" w:hAnsi="宋体"/>
                <w:sz w:val="24"/>
              </w:rPr>
            </w:pPr>
            <w:r w:rsidRPr="008A6C8E">
              <w:rPr>
                <w:rFonts w:ascii="宋体" w:hAnsi="宋体" w:hint="eastAsia"/>
                <w:sz w:val="24"/>
              </w:rPr>
              <w:t>持股比例</w:t>
            </w:r>
          </w:p>
        </w:tc>
      </w:tr>
      <w:tr w:rsidR="00AA6188" w14:paraId="2AED55F9" w14:textId="77777777" w:rsidTr="00C433A1">
        <w:trPr>
          <w:jc w:val="center"/>
        </w:trPr>
        <w:tc>
          <w:tcPr>
            <w:tcW w:w="4847" w:type="dxa"/>
            <w:shd w:val="clear" w:color="auto" w:fill="auto"/>
            <w:vAlign w:val="center"/>
          </w:tcPr>
          <w:p w14:paraId="424345E5" w14:textId="77777777" w:rsidR="00AA6188" w:rsidRPr="00AD2957" w:rsidRDefault="00AA6188" w:rsidP="00C433A1">
            <w:pPr>
              <w:adjustRightInd w:val="0"/>
              <w:snapToGrid w:val="0"/>
              <w:spacing w:afterLines="50" w:after="156" w:line="480" w:lineRule="exact"/>
              <w:jc w:val="center"/>
              <w:rPr>
                <w:rFonts w:ascii="宋体" w:hAnsi="宋体"/>
                <w:sz w:val="24"/>
                <w:vertAlign w:val="superscript"/>
              </w:rPr>
            </w:pPr>
            <w:r>
              <w:rPr>
                <w:rFonts w:ascii="宋体" w:hAnsi="宋体" w:hint="eastAsia"/>
                <w:sz w:val="24"/>
              </w:rPr>
              <w:t>上海陆家嘴金融贸易区开发股份有限公司</w:t>
            </w:r>
          </w:p>
        </w:tc>
        <w:tc>
          <w:tcPr>
            <w:tcW w:w="2693" w:type="dxa"/>
            <w:shd w:val="clear" w:color="auto" w:fill="auto"/>
            <w:vAlign w:val="center"/>
          </w:tcPr>
          <w:p w14:paraId="29DD4253" w14:textId="77777777" w:rsidR="00AA6188" w:rsidRPr="008A6C8E" w:rsidRDefault="00AA6188" w:rsidP="00C433A1">
            <w:pPr>
              <w:adjustRightInd w:val="0"/>
              <w:snapToGrid w:val="0"/>
              <w:spacing w:afterLines="50" w:after="156" w:line="480" w:lineRule="exact"/>
              <w:jc w:val="right"/>
              <w:rPr>
                <w:rFonts w:ascii="宋体" w:hAnsi="宋体"/>
                <w:sz w:val="24"/>
              </w:rPr>
            </w:pPr>
            <w:r>
              <w:rPr>
                <w:rFonts w:ascii="宋体" w:hAnsi="宋体" w:hint="eastAsia"/>
                <w:sz w:val="24"/>
              </w:rPr>
              <w:t>450,000</w:t>
            </w:r>
          </w:p>
        </w:tc>
        <w:tc>
          <w:tcPr>
            <w:tcW w:w="1418" w:type="dxa"/>
            <w:shd w:val="clear" w:color="auto" w:fill="auto"/>
            <w:vAlign w:val="center"/>
          </w:tcPr>
          <w:p w14:paraId="284645B7" w14:textId="77777777" w:rsidR="00AA6188" w:rsidRPr="008A6C8E" w:rsidRDefault="00AA6188" w:rsidP="00C433A1">
            <w:pPr>
              <w:adjustRightInd w:val="0"/>
              <w:snapToGrid w:val="0"/>
              <w:spacing w:afterLines="50" w:after="156" w:line="480" w:lineRule="exact"/>
              <w:jc w:val="right"/>
              <w:rPr>
                <w:rFonts w:ascii="宋体" w:hAnsi="宋体"/>
                <w:sz w:val="24"/>
              </w:rPr>
            </w:pPr>
            <w:r>
              <w:rPr>
                <w:rFonts w:ascii="宋体" w:hAnsi="宋体" w:hint="eastAsia"/>
                <w:sz w:val="24"/>
              </w:rPr>
              <w:t>60</w:t>
            </w:r>
            <w:r w:rsidRPr="008A6C8E">
              <w:rPr>
                <w:rFonts w:ascii="宋体" w:hAnsi="宋体" w:hint="eastAsia"/>
                <w:sz w:val="24"/>
              </w:rPr>
              <w:t>%</w:t>
            </w:r>
          </w:p>
        </w:tc>
      </w:tr>
      <w:tr w:rsidR="00AA6188" w14:paraId="762E51DE" w14:textId="77777777" w:rsidTr="00C433A1">
        <w:trPr>
          <w:jc w:val="center"/>
        </w:trPr>
        <w:tc>
          <w:tcPr>
            <w:tcW w:w="4847" w:type="dxa"/>
            <w:shd w:val="clear" w:color="auto" w:fill="auto"/>
            <w:vAlign w:val="center"/>
          </w:tcPr>
          <w:p w14:paraId="6E07F8C9" w14:textId="77777777" w:rsidR="00AA6188" w:rsidRPr="008A6C8E" w:rsidRDefault="00AA6188" w:rsidP="00C433A1">
            <w:pPr>
              <w:adjustRightInd w:val="0"/>
              <w:snapToGrid w:val="0"/>
              <w:spacing w:afterLines="50" w:after="156" w:line="480" w:lineRule="exact"/>
              <w:jc w:val="center"/>
              <w:rPr>
                <w:rFonts w:ascii="宋体" w:hAnsi="宋体"/>
                <w:sz w:val="24"/>
              </w:rPr>
            </w:pPr>
            <w:r>
              <w:rPr>
                <w:rFonts w:ascii="宋体" w:hAnsi="宋体" w:hint="eastAsia"/>
                <w:sz w:val="24"/>
              </w:rPr>
              <w:t>上海陆家嘴（集团）</w:t>
            </w:r>
            <w:r w:rsidRPr="008A6C8E">
              <w:rPr>
                <w:rFonts w:ascii="宋体" w:hAnsi="宋体" w:hint="eastAsia"/>
                <w:sz w:val="24"/>
              </w:rPr>
              <w:t>有限公司</w:t>
            </w:r>
          </w:p>
        </w:tc>
        <w:tc>
          <w:tcPr>
            <w:tcW w:w="2693" w:type="dxa"/>
            <w:shd w:val="clear" w:color="auto" w:fill="auto"/>
            <w:vAlign w:val="center"/>
          </w:tcPr>
          <w:p w14:paraId="42E0343A" w14:textId="77777777" w:rsidR="00AA6188" w:rsidRPr="008A6C8E" w:rsidRDefault="00AA6188" w:rsidP="00C433A1">
            <w:pPr>
              <w:adjustRightInd w:val="0"/>
              <w:snapToGrid w:val="0"/>
              <w:spacing w:afterLines="50" w:after="156" w:line="480" w:lineRule="exact"/>
              <w:jc w:val="right"/>
              <w:rPr>
                <w:rFonts w:ascii="宋体" w:hAnsi="宋体"/>
                <w:sz w:val="24"/>
              </w:rPr>
            </w:pPr>
            <w:r>
              <w:rPr>
                <w:rFonts w:ascii="宋体" w:hAnsi="宋体" w:hint="eastAsia"/>
                <w:sz w:val="24"/>
              </w:rPr>
              <w:t>300,000</w:t>
            </w:r>
          </w:p>
        </w:tc>
        <w:tc>
          <w:tcPr>
            <w:tcW w:w="1418" w:type="dxa"/>
            <w:shd w:val="clear" w:color="auto" w:fill="auto"/>
            <w:vAlign w:val="center"/>
          </w:tcPr>
          <w:p w14:paraId="2E405CA1" w14:textId="77777777" w:rsidR="00AA6188" w:rsidRPr="008A6C8E" w:rsidRDefault="00AA6188" w:rsidP="00C433A1">
            <w:pPr>
              <w:adjustRightInd w:val="0"/>
              <w:snapToGrid w:val="0"/>
              <w:spacing w:afterLines="50" w:after="156" w:line="480" w:lineRule="exact"/>
              <w:jc w:val="right"/>
              <w:rPr>
                <w:rFonts w:ascii="宋体" w:hAnsi="宋体"/>
                <w:sz w:val="24"/>
              </w:rPr>
            </w:pPr>
            <w:r>
              <w:rPr>
                <w:rFonts w:ascii="宋体" w:hAnsi="宋体" w:hint="eastAsia"/>
                <w:sz w:val="24"/>
              </w:rPr>
              <w:t>40</w:t>
            </w:r>
            <w:r w:rsidRPr="008A6C8E">
              <w:rPr>
                <w:rFonts w:ascii="宋体" w:hAnsi="宋体" w:hint="eastAsia"/>
                <w:sz w:val="24"/>
              </w:rPr>
              <w:t>%</w:t>
            </w:r>
          </w:p>
        </w:tc>
      </w:tr>
      <w:tr w:rsidR="00AA6188" w14:paraId="78A2636D" w14:textId="77777777" w:rsidTr="00C433A1">
        <w:trPr>
          <w:jc w:val="center"/>
        </w:trPr>
        <w:tc>
          <w:tcPr>
            <w:tcW w:w="4847" w:type="dxa"/>
            <w:shd w:val="clear" w:color="auto" w:fill="auto"/>
            <w:vAlign w:val="center"/>
          </w:tcPr>
          <w:p w14:paraId="6A07B97E" w14:textId="77777777" w:rsidR="00AA6188" w:rsidRPr="008A6C8E" w:rsidRDefault="00AA6188" w:rsidP="00C433A1">
            <w:pPr>
              <w:adjustRightInd w:val="0"/>
              <w:snapToGrid w:val="0"/>
              <w:spacing w:afterLines="50" w:after="156" w:line="480" w:lineRule="exact"/>
              <w:jc w:val="center"/>
              <w:rPr>
                <w:rFonts w:ascii="宋体" w:hAnsi="宋体"/>
                <w:sz w:val="24"/>
              </w:rPr>
            </w:pPr>
            <w:r w:rsidRPr="008A6C8E">
              <w:rPr>
                <w:rFonts w:ascii="宋体" w:hAnsi="宋体" w:hint="eastAsia"/>
                <w:sz w:val="24"/>
              </w:rPr>
              <w:t>总计</w:t>
            </w:r>
          </w:p>
        </w:tc>
        <w:tc>
          <w:tcPr>
            <w:tcW w:w="2693" w:type="dxa"/>
            <w:shd w:val="clear" w:color="auto" w:fill="auto"/>
            <w:vAlign w:val="center"/>
          </w:tcPr>
          <w:p w14:paraId="4563FCC0" w14:textId="77777777" w:rsidR="00AA6188" w:rsidRPr="008A6C8E" w:rsidRDefault="00AA6188" w:rsidP="00C433A1">
            <w:pPr>
              <w:adjustRightInd w:val="0"/>
              <w:snapToGrid w:val="0"/>
              <w:spacing w:afterLines="50" w:after="156" w:line="480" w:lineRule="exact"/>
              <w:jc w:val="right"/>
              <w:rPr>
                <w:rFonts w:ascii="宋体" w:hAnsi="宋体"/>
                <w:sz w:val="24"/>
              </w:rPr>
            </w:pPr>
            <w:r>
              <w:rPr>
                <w:rFonts w:ascii="宋体" w:hAnsi="宋体" w:hint="eastAsia"/>
                <w:sz w:val="24"/>
              </w:rPr>
              <w:t>750,000</w:t>
            </w:r>
          </w:p>
        </w:tc>
        <w:tc>
          <w:tcPr>
            <w:tcW w:w="1418" w:type="dxa"/>
            <w:shd w:val="clear" w:color="auto" w:fill="auto"/>
            <w:vAlign w:val="center"/>
          </w:tcPr>
          <w:p w14:paraId="27E433C2" w14:textId="77777777" w:rsidR="00AA6188" w:rsidRPr="008A6C8E" w:rsidRDefault="00AA6188" w:rsidP="00C433A1">
            <w:pPr>
              <w:adjustRightInd w:val="0"/>
              <w:snapToGrid w:val="0"/>
              <w:spacing w:afterLines="50" w:after="156" w:line="480" w:lineRule="exact"/>
              <w:jc w:val="right"/>
              <w:rPr>
                <w:rFonts w:ascii="宋体" w:hAnsi="宋体"/>
                <w:sz w:val="24"/>
              </w:rPr>
            </w:pPr>
            <w:r w:rsidRPr="008A6C8E">
              <w:rPr>
                <w:rFonts w:ascii="宋体" w:hAnsi="宋体" w:hint="eastAsia"/>
                <w:sz w:val="24"/>
              </w:rPr>
              <w:t>1</w:t>
            </w:r>
            <w:r>
              <w:rPr>
                <w:rFonts w:ascii="宋体" w:hAnsi="宋体"/>
                <w:sz w:val="24"/>
              </w:rPr>
              <w:t>0</w:t>
            </w:r>
            <w:r>
              <w:rPr>
                <w:rFonts w:ascii="宋体" w:hAnsi="宋体" w:hint="eastAsia"/>
                <w:sz w:val="24"/>
              </w:rPr>
              <w:t>0</w:t>
            </w:r>
            <w:r w:rsidRPr="008A6C8E">
              <w:rPr>
                <w:rFonts w:ascii="宋体" w:hAnsi="宋体"/>
                <w:sz w:val="24"/>
              </w:rPr>
              <w:t>%</w:t>
            </w:r>
          </w:p>
        </w:tc>
      </w:tr>
    </w:tbl>
    <w:p w14:paraId="48A333CD" w14:textId="77777777" w:rsidR="00AA6188" w:rsidRPr="004355A2" w:rsidRDefault="00AA6188" w:rsidP="00AA6188">
      <w:pPr>
        <w:adjustRightInd w:val="0"/>
        <w:snapToGrid w:val="0"/>
        <w:spacing w:afterLines="50" w:after="156" w:line="480" w:lineRule="exact"/>
        <w:ind w:firstLineChars="200" w:firstLine="480"/>
        <w:rPr>
          <w:rFonts w:ascii="宋体" w:hAnsi="宋体"/>
          <w:sz w:val="24"/>
        </w:rPr>
      </w:pPr>
      <w:bookmarkStart w:id="1" w:name="_Hlk21788498"/>
      <w:r w:rsidRPr="002C0F05">
        <w:rPr>
          <w:rFonts w:ascii="宋体" w:hAnsi="宋体" w:hint="eastAsia"/>
          <w:sz w:val="24"/>
        </w:rPr>
        <w:t>（</w:t>
      </w:r>
      <w:r>
        <w:rPr>
          <w:rFonts w:ascii="宋体" w:hAnsi="宋体" w:hint="eastAsia"/>
          <w:sz w:val="24"/>
        </w:rPr>
        <w:t>十</w:t>
      </w:r>
      <w:r w:rsidRPr="002C0F05">
        <w:rPr>
          <w:rFonts w:ascii="宋体" w:hAnsi="宋体" w:hint="eastAsia"/>
          <w:sz w:val="24"/>
        </w:rPr>
        <w:t>）一年又一期主要财务数据</w:t>
      </w:r>
      <w:r>
        <w:rPr>
          <w:rFonts w:ascii="宋体" w:hAnsi="宋体" w:hint="eastAsia"/>
          <w:b/>
          <w:bCs/>
          <w:sz w:val="24"/>
        </w:rPr>
        <w:t xml:space="preserve"> </w:t>
      </w:r>
      <w:r>
        <w:rPr>
          <w:rFonts w:ascii="宋体" w:hAnsi="宋体"/>
          <w:b/>
          <w:bCs/>
          <w:sz w:val="24"/>
        </w:rPr>
        <w:t xml:space="preserve">             </w:t>
      </w:r>
      <w:r>
        <w:rPr>
          <w:rFonts w:ascii="宋体" w:hAnsi="宋体" w:hint="eastAsia"/>
          <w:sz w:val="24"/>
        </w:rPr>
        <w:t>币种：人民币 单位：万元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3138"/>
        <w:gridCol w:w="3082"/>
      </w:tblGrid>
      <w:tr w:rsidR="00AA6188" w:rsidRPr="006F4B4E" w14:paraId="0689A928" w14:textId="77777777" w:rsidTr="00C433A1">
        <w:trPr>
          <w:jc w:val="center"/>
        </w:trPr>
        <w:tc>
          <w:tcPr>
            <w:tcW w:w="2130" w:type="dxa"/>
            <w:shd w:val="clear" w:color="auto" w:fill="auto"/>
          </w:tcPr>
          <w:p w14:paraId="380718F0" w14:textId="77777777" w:rsidR="00AA6188" w:rsidRPr="008A6C8E" w:rsidRDefault="00AA6188" w:rsidP="00C433A1">
            <w:pPr>
              <w:adjustRightInd w:val="0"/>
              <w:snapToGrid w:val="0"/>
              <w:spacing w:line="360" w:lineRule="auto"/>
              <w:jc w:val="center"/>
              <w:rPr>
                <w:rFonts w:ascii="宋体" w:hAnsi="宋体"/>
                <w:sz w:val="24"/>
              </w:rPr>
            </w:pPr>
          </w:p>
        </w:tc>
        <w:tc>
          <w:tcPr>
            <w:tcW w:w="3196" w:type="dxa"/>
          </w:tcPr>
          <w:p w14:paraId="03548463" w14:textId="77777777" w:rsidR="00AA6188" w:rsidRPr="008A6C8E" w:rsidRDefault="00AA6188" w:rsidP="00C433A1">
            <w:pPr>
              <w:adjustRightInd w:val="0"/>
              <w:snapToGrid w:val="0"/>
              <w:spacing w:line="360" w:lineRule="auto"/>
              <w:jc w:val="center"/>
              <w:rPr>
                <w:rFonts w:ascii="宋体" w:hAnsi="宋体"/>
                <w:sz w:val="24"/>
              </w:rPr>
            </w:pPr>
            <w:r>
              <w:rPr>
                <w:rFonts w:ascii="宋体" w:hAnsi="宋体" w:hint="eastAsia"/>
                <w:sz w:val="24"/>
              </w:rPr>
              <w:t>2</w:t>
            </w:r>
            <w:r>
              <w:rPr>
                <w:rFonts w:ascii="宋体" w:hAnsi="宋体"/>
                <w:sz w:val="24"/>
              </w:rPr>
              <w:t>020</w:t>
            </w:r>
            <w:r>
              <w:rPr>
                <w:rFonts w:ascii="宋体" w:hAnsi="宋体" w:hint="eastAsia"/>
                <w:sz w:val="24"/>
              </w:rPr>
              <w:t>年</w:t>
            </w:r>
            <w:r>
              <w:rPr>
                <w:rFonts w:ascii="宋体" w:hAnsi="宋体"/>
                <w:sz w:val="24"/>
              </w:rPr>
              <w:t>3</w:t>
            </w:r>
            <w:r>
              <w:rPr>
                <w:rFonts w:ascii="宋体" w:hAnsi="宋体" w:hint="eastAsia"/>
                <w:sz w:val="24"/>
              </w:rPr>
              <w:t>月3</w:t>
            </w:r>
            <w:r>
              <w:rPr>
                <w:rFonts w:ascii="宋体" w:hAnsi="宋体"/>
                <w:sz w:val="24"/>
              </w:rPr>
              <w:t>1</w:t>
            </w:r>
            <w:r>
              <w:rPr>
                <w:rFonts w:ascii="宋体" w:hAnsi="宋体" w:hint="eastAsia"/>
                <w:sz w:val="24"/>
              </w:rPr>
              <w:t>日</w:t>
            </w:r>
          </w:p>
        </w:tc>
        <w:tc>
          <w:tcPr>
            <w:tcW w:w="3138" w:type="dxa"/>
            <w:shd w:val="clear" w:color="auto" w:fill="auto"/>
          </w:tcPr>
          <w:p w14:paraId="5C676B3B" w14:textId="77777777" w:rsidR="00AA6188" w:rsidRPr="008A6C8E" w:rsidRDefault="00AA6188" w:rsidP="00C433A1">
            <w:pPr>
              <w:adjustRightInd w:val="0"/>
              <w:snapToGrid w:val="0"/>
              <w:spacing w:line="360" w:lineRule="auto"/>
              <w:jc w:val="center"/>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年1</w:t>
            </w:r>
            <w:r>
              <w:rPr>
                <w:rFonts w:ascii="宋体" w:hAnsi="宋体"/>
                <w:sz w:val="24"/>
              </w:rPr>
              <w:t>2</w:t>
            </w:r>
            <w:r>
              <w:rPr>
                <w:rFonts w:ascii="宋体" w:hAnsi="宋体" w:hint="eastAsia"/>
                <w:sz w:val="24"/>
              </w:rPr>
              <w:t>月3</w:t>
            </w:r>
            <w:r>
              <w:rPr>
                <w:rFonts w:ascii="宋体" w:hAnsi="宋体"/>
                <w:sz w:val="24"/>
              </w:rPr>
              <w:t>1</w:t>
            </w:r>
            <w:r>
              <w:rPr>
                <w:rFonts w:ascii="宋体" w:hAnsi="宋体" w:hint="eastAsia"/>
                <w:sz w:val="24"/>
              </w:rPr>
              <w:t>日</w:t>
            </w:r>
          </w:p>
        </w:tc>
      </w:tr>
      <w:tr w:rsidR="00AA6188" w:rsidRPr="006F4B4E" w14:paraId="188ABE9B" w14:textId="77777777" w:rsidTr="00C433A1">
        <w:trPr>
          <w:jc w:val="center"/>
        </w:trPr>
        <w:tc>
          <w:tcPr>
            <w:tcW w:w="2130" w:type="dxa"/>
            <w:shd w:val="clear" w:color="auto" w:fill="auto"/>
          </w:tcPr>
          <w:p w14:paraId="6A2B0B2B" w14:textId="77777777" w:rsidR="00AA6188" w:rsidRPr="008A6C8E" w:rsidRDefault="00AA6188" w:rsidP="00C433A1">
            <w:pPr>
              <w:adjustRightInd w:val="0"/>
              <w:snapToGrid w:val="0"/>
              <w:spacing w:line="360" w:lineRule="auto"/>
              <w:jc w:val="center"/>
              <w:rPr>
                <w:rFonts w:ascii="宋体" w:hAnsi="宋体"/>
                <w:sz w:val="24"/>
              </w:rPr>
            </w:pPr>
            <w:r w:rsidRPr="008A6C8E">
              <w:rPr>
                <w:rFonts w:ascii="宋体" w:hAnsi="宋体" w:hint="eastAsia"/>
                <w:sz w:val="24"/>
              </w:rPr>
              <w:t>营业收入</w:t>
            </w:r>
          </w:p>
        </w:tc>
        <w:tc>
          <w:tcPr>
            <w:tcW w:w="3196" w:type="dxa"/>
          </w:tcPr>
          <w:p w14:paraId="10584DD6"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w:t>
            </w:r>
          </w:p>
        </w:tc>
        <w:tc>
          <w:tcPr>
            <w:tcW w:w="3138" w:type="dxa"/>
            <w:shd w:val="clear" w:color="auto" w:fill="auto"/>
          </w:tcPr>
          <w:p w14:paraId="26AEBCB9"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w:t>
            </w:r>
          </w:p>
        </w:tc>
      </w:tr>
      <w:tr w:rsidR="00AA6188" w:rsidRPr="006F4B4E" w14:paraId="5AE5F4B8" w14:textId="77777777" w:rsidTr="00C433A1">
        <w:trPr>
          <w:jc w:val="center"/>
        </w:trPr>
        <w:tc>
          <w:tcPr>
            <w:tcW w:w="2130" w:type="dxa"/>
            <w:shd w:val="clear" w:color="auto" w:fill="auto"/>
          </w:tcPr>
          <w:p w14:paraId="1DBEF908" w14:textId="77777777" w:rsidR="00AA6188" w:rsidRPr="008A6C8E" w:rsidRDefault="00AA6188" w:rsidP="00C433A1">
            <w:pPr>
              <w:adjustRightInd w:val="0"/>
              <w:snapToGrid w:val="0"/>
              <w:spacing w:line="360" w:lineRule="auto"/>
              <w:jc w:val="center"/>
              <w:rPr>
                <w:rFonts w:ascii="宋体" w:hAnsi="宋体"/>
                <w:sz w:val="24"/>
              </w:rPr>
            </w:pPr>
            <w:r w:rsidRPr="008A6C8E">
              <w:rPr>
                <w:rFonts w:ascii="宋体" w:hAnsi="宋体" w:hint="eastAsia"/>
                <w:sz w:val="24"/>
              </w:rPr>
              <w:t>净利润</w:t>
            </w:r>
          </w:p>
        </w:tc>
        <w:tc>
          <w:tcPr>
            <w:tcW w:w="3196" w:type="dxa"/>
          </w:tcPr>
          <w:p w14:paraId="42646EA4"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w:t>
            </w:r>
            <w:r>
              <w:rPr>
                <w:rFonts w:ascii="宋体" w:hAnsi="宋体"/>
                <w:sz w:val="24"/>
              </w:rPr>
              <w:t>2,111.12</w:t>
            </w:r>
          </w:p>
        </w:tc>
        <w:tc>
          <w:tcPr>
            <w:tcW w:w="3138" w:type="dxa"/>
            <w:shd w:val="clear" w:color="auto" w:fill="auto"/>
          </w:tcPr>
          <w:p w14:paraId="21F54F0A"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w:t>
            </w:r>
            <w:r>
              <w:rPr>
                <w:rFonts w:ascii="宋体" w:hAnsi="宋体"/>
                <w:sz w:val="24"/>
              </w:rPr>
              <w:t>2,030.00</w:t>
            </w:r>
          </w:p>
        </w:tc>
      </w:tr>
      <w:tr w:rsidR="00AA6188" w:rsidRPr="006F4B4E" w14:paraId="539E7C83" w14:textId="77777777" w:rsidTr="00C433A1">
        <w:trPr>
          <w:jc w:val="center"/>
        </w:trPr>
        <w:tc>
          <w:tcPr>
            <w:tcW w:w="2130" w:type="dxa"/>
            <w:shd w:val="clear" w:color="auto" w:fill="auto"/>
          </w:tcPr>
          <w:p w14:paraId="42EA18A0" w14:textId="77777777" w:rsidR="00AA6188" w:rsidRPr="008A6C8E" w:rsidRDefault="00AA6188" w:rsidP="00C433A1">
            <w:pPr>
              <w:adjustRightInd w:val="0"/>
              <w:snapToGrid w:val="0"/>
              <w:spacing w:line="360" w:lineRule="auto"/>
              <w:jc w:val="center"/>
              <w:rPr>
                <w:rFonts w:ascii="宋体" w:hAnsi="宋体"/>
                <w:sz w:val="24"/>
              </w:rPr>
            </w:pPr>
            <w:r>
              <w:rPr>
                <w:rFonts w:ascii="宋体" w:hAnsi="宋体" w:hint="eastAsia"/>
                <w:sz w:val="24"/>
              </w:rPr>
              <w:t>期末</w:t>
            </w:r>
            <w:r w:rsidRPr="008A6C8E">
              <w:rPr>
                <w:rFonts w:ascii="宋体" w:hAnsi="宋体" w:hint="eastAsia"/>
                <w:sz w:val="24"/>
              </w:rPr>
              <w:t>总资产</w:t>
            </w:r>
          </w:p>
        </w:tc>
        <w:tc>
          <w:tcPr>
            <w:tcW w:w="3196" w:type="dxa"/>
          </w:tcPr>
          <w:p w14:paraId="29BF8D8A"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9</w:t>
            </w:r>
            <w:r>
              <w:rPr>
                <w:rFonts w:ascii="宋体" w:hAnsi="宋体"/>
                <w:sz w:val="24"/>
              </w:rPr>
              <w:t>95,859.88</w:t>
            </w:r>
          </w:p>
        </w:tc>
        <w:tc>
          <w:tcPr>
            <w:tcW w:w="3138" w:type="dxa"/>
            <w:shd w:val="clear" w:color="auto" w:fill="auto"/>
          </w:tcPr>
          <w:p w14:paraId="34A5B1B0"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9</w:t>
            </w:r>
            <w:r>
              <w:rPr>
                <w:rFonts w:ascii="宋体" w:hAnsi="宋体"/>
                <w:sz w:val="24"/>
              </w:rPr>
              <w:t>48,261.28</w:t>
            </w:r>
          </w:p>
        </w:tc>
      </w:tr>
      <w:tr w:rsidR="00AA6188" w:rsidRPr="006F4B4E" w14:paraId="05473D9E" w14:textId="77777777" w:rsidTr="00C433A1">
        <w:trPr>
          <w:jc w:val="center"/>
        </w:trPr>
        <w:tc>
          <w:tcPr>
            <w:tcW w:w="2130" w:type="dxa"/>
            <w:shd w:val="clear" w:color="auto" w:fill="auto"/>
          </w:tcPr>
          <w:p w14:paraId="021B83B0" w14:textId="77777777" w:rsidR="00AA6188" w:rsidRDefault="00AA6188" w:rsidP="00C433A1">
            <w:pPr>
              <w:adjustRightInd w:val="0"/>
              <w:snapToGrid w:val="0"/>
              <w:spacing w:line="360" w:lineRule="auto"/>
              <w:jc w:val="center"/>
              <w:rPr>
                <w:rFonts w:ascii="宋体" w:hAnsi="宋体"/>
                <w:sz w:val="24"/>
              </w:rPr>
            </w:pPr>
            <w:r>
              <w:rPr>
                <w:rFonts w:ascii="宋体" w:hAnsi="宋体" w:hint="eastAsia"/>
                <w:sz w:val="24"/>
              </w:rPr>
              <w:t>期末</w:t>
            </w:r>
            <w:r w:rsidRPr="008A6C8E">
              <w:rPr>
                <w:rFonts w:ascii="宋体" w:hAnsi="宋体" w:hint="eastAsia"/>
                <w:sz w:val="24"/>
              </w:rPr>
              <w:t>净资产</w:t>
            </w:r>
          </w:p>
        </w:tc>
        <w:tc>
          <w:tcPr>
            <w:tcW w:w="3196" w:type="dxa"/>
          </w:tcPr>
          <w:p w14:paraId="74979F19"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7</w:t>
            </w:r>
            <w:r>
              <w:rPr>
                <w:rFonts w:ascii="宋体" w:hAnsi="宋体"/>
                <w:sz w:val="24"/>
              </w:rPr>
              <w:t>45,858.88</w:t>
            </w:r>
          </w:p>
        </w:tc>
        <w:tc>
          <w:tcPr>
            <w:tcW w:w="3138" w:type="dxa"/>
            <w:shd w:val="clear" w:color="auto" w:fill="auto"/>
          </w:tcPr>
          <w:p w14:paraId="77BF69B5" w14:textId="77777777" w:rsidR="00AA6188" w:rsidRPr="008A6C8E" w:rsidRDefault="00AA6188" w:rsidP="00C433A1">
            <w:pPr>
              <w:adjustRightInd w:val="0"/>
              <w:snapToGrid w:val="0"/>
              <w:spacing w:line="360" w:lineRule="auto"/>
              <w:jc w:val="right"/>
              <w:rPr>
                <w:rFonts w:ascii="宋体" w:hAnsi="宋体"/>
                <w:sz w:val="24"/>
              </w:rPr>
            </w:pPr>
            <w:r>
              <w:rPr>
                <w:rFonts w:ascii="宋体" w:hAnsi="宋体" w:hint="eastAsia"/>
                <w:sz w:val="24"/>
              </w:rPr>
              <w:t>7</w:t>
            </w:r>
            <w:r>
              <w:rPr>
                <w:rFonts w:ascii="宋体" w:hAnsi="宋体"/>
                <w:sz w:val="24"/>
              </w:rPr>
              <w:t>47,970.00</w:t>
            </w:r>
          </w:p>
        </w:tc>
      </w:tr>
    </w:tbl>
    <w:p w14:paraId="1913896D"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w:t>
      </w:r>
      <w:r w:rsidRPr="00AA6188">
        <w:rPr>
          <w:rFonts w:ascii="宋体" w:hAnsi="宋体"/>
          <w:sz w:val="24"/>
        </w:rPr>
        <w:t>2020</w:t>
      </w:r>
      <w:r w:rsidRPr="00AA6188">
        <w:rPr>
          <w:rFonts w:ascii="宋体" w:hAnsi="宋体" w:hint="eastAsia"/>
          <w:sz w:val="24"/>
        </w:rPr>
        <w:t>年3月3</w:t>
      </w:r>
      <w:r w:rsidRPr="00AA6188">
        <w:rPr>
          <w:rFonts w:ascii="宋体" w:hAnsi="宋体"/>
          <w:sz w:val="24"/>
        </w:rPr>
        <w:t>1</w:t>
      </w:r>
      <w:r w:rsidRPr="00AA6188">
        <w:rPr>
          <w:rFonts w:ascii="宋体" w:hAnsi="宋体" w:hint="eastAsia"/>
          <w:sz w:val="24"/>
        </w:rPr>
        <w:t>日财务数据未经审计，2</w:t>
      </w:r>
      <w:r w:rsidRPr="00AA6188">
        <w:rPr>
          <w:rFonts w:ascii="宋体" w:hAnsi="宋体"/>
          <w:sz w:val="24"/>
        </w:rPr>
        <w:t>019</w:t>
      </w:r>
      <w:r w:rsidRPr="00AA6188">
        <w:rPr>
          <w:rFonts w:ascii="宋体" w:hAnsi="宋体" w:hint="eastAsia"/>
          <w:sz w:val="24"/>
        </w:rPr>
        <w:t>年1</w:t>
      </w:r>
      <w:r w:rsidRPr="00AA6188">
        <w:rPr>
          <w:rFonts w:ascii="宋体" w:hAnsi="宋体"/>
          <w:sz w:val="24"/>
        </w:rPr>
        <w:t>2</w:t>
      </w:r>
      <w:r w:rsidRPr="00AA6188">
        <w:rPr>
          <w:rFonts w:ascii="宋体" w:hAnsi="宋体" w:hint="eastAsia"/>
          <w:sz w:val="24"/>
        </w:rPr>
        <w:t>月3</w:t>
      </w:r>
      <w:r w:rsidRPr="00AA6188">
        <w:rPr>
          <w:rFonts w:ascii="宋体" w:hAnsi="宋体"/>
          <w:sz w:val="24"/>
        </w:rPr>
        <w:t>1</w:t>
      </w:r>
      <w:r w:rsidRPr="00AA6188">
        <w:rPr>
          <w:rFonts w:ascii="宋体" w:hAnsi="宋体" w:hint="eastAsia"/>
          <w:sz w:val="24"/>
        </w:rPr>
        <w:t>日财务数据经普华永道中天会计师事务所（特殊普通合伙）审计。</w:t>
      </w:r>
      <w:bookmarkEnd w:id="1"/>
    </w:p>
    <w:p w14:paraId="1D8BE8D3" w14:textId="77777777" w:rsidR="00AA6188" w:rsidRP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（十一）主要经营情况</w:t>
      </w:r>
    </w:p>
    <w:p w14:paraId="1B6FB268" w14:textId="77777777" w:rsidR="00AA6188" w:rsidRPr="00DF0C07" w:rsidRDefault="00AA6188" w:rsidP="00AA6188">
      <w:pPr>
        <w:adjustRightInd w:val="0"/>
        <w:snapToGrid w:val="0"/>
        <w:spacing w:line="520" w:lineRule="atLeast"/>
        <w:ind w:firstLineChars="187" w:firstLine="449"/>
        <w:rPr>
          <w:rFonts w:ascii="宋体" w:hAnsi="宋体"/>
          <w:sz w:val="24"/>
        </w:rPr>
      </w:pPr>
      <w:r>
        <w:rPr>
          <w:rFonts w:ascii="宋体" w:hAnsi="宋体" w:hint="eastAsia"/>
          <w:sz w:val="24"/>
        </w:rPr>
        <w:t>2</w:t>
      </w:r>
      <w:r>
        <w:rPr>
          <w:rFonts w:ascii="宋体" w:hAnsi="宋体"/>
          <w:sz w:val="24"/>
        </w:rPr>
        <w:t>019</w:t>
      </w:r>
      <w:r>
        <w:rPr>
          <w:rFonts w:ascii="宋体" w:hAnsi="宋体" w:hint="eastAsia"/>
          <w:sz w:val="24"/>
        </w:rPr>
        <w:t>年</w:t>
      </w:r>
      <w:r>
        <w:rPr>
          <w:rFonts w:ascii="宋体" w:hAnsi="宋体"/>
          <w:sz w:val="24"/>
        </w:rPr>
        <w:t>9</w:t>
      </w:r>
      <w:r>
        <w:rPr>
          <w:rFonts w:ascii="宋体" w:hAnsi="宋体" w:hint="eastAsia"/>
          <w:sz w:val="24"/>
        </w:rPr>
        <w:t>月，东</w:t>
      </w:r>
      <w:proofErr w:type="gramStart"/>
      <w:r>
        <w:rPr>
          <w:rFonts w:ascii="宋体" w:hAnsi="宋体" w:hint="eastAsia"/>
          <w:sz w:val="24"/>
        </w:rPr>
        <w:t>翌</w:t>
      </w:r>
      <w:proofErr w:type="gramEnd"/>
      <w:r>
        <w:rPr>
          <w:rFonts w:ascii="宋体" w:hAnsi="宋体" w:hint="eastAsia"/>
          <w:sz w:val="24"/>
        </w:rPr>
        <w:t>置业以人民币9</w:t>
      </w:r>
      <w:r>
        <w:rPr>
          <w:rFonts w:ascii="宋体" w:hAnsi="宋体"/>
          <w:sz w:val="24"/>
        </w:rPr>
        <w:t>10</w:t>
      </w:r>
      <w:r>
        <w:rPr>
          <w:rFonts w:ascii="宋体" w:hAnsi="宋体" w:hint="eastAsia"/>
          <w:sz w:val="24"/>
        </w:rPr>
        <w:t>,</w:t>
      </w:r>
      <w:r>
        <w:rPr>
          <w:rFonts w:ascii="宋体" w:hAnsi="宋体"/>
          <w:sz w:val="24"/>
        </w:rPr>
        <w:t>870</w:t>
      </w:r>
      <w:r>
        <w:rPr>
          <w:rFonts w:ascii="宋体" w:hAnsi="宋体" w:hint="eastAsia"/>
          <w:sz w:val="24"/>
        </w:rPr>
        <w:t>万元竞得了</w:t>
      </w:r>
      <w:r w:rsidRPr="00655FE3">
        <w:rPr>
          <w:rFonts w:ascii="宋体" w:hAnsi="宋体" w:hint="eastAsia"/>
          <w:sz w:val="24"/>
        </w:rPr>
        <w:t>张江中区 56-01、57-01、73-02、74-01、75-02 地块及 57-02 公共绿地、学林路、卓慧路、</w:t>
      </w:r>
      <w:proofErr w:type="gramStart"/>
      <w:r w:rsidRPr="00655FE3">
        <w:rPr>
          <w:rFonts w:ascii="宋体" w:hAnsi="宋体" w:hint="eastAsia"/>
          <w:sz w:val="24"/>
        </w:rPr>
        <w:t>百科路</w:t>
      </w:r>
      <w:proofErr w:type="gramEnd"/>
      <w:r w:rsidRPr="00655FE3">
        <w:rPr>
          <w:rFonts w:ascii="宋体" w:hAnsi="宋体" w:hint="eastAsia"/>
          <w:sz w:val="24"/>
        </w:rPr>
        <w:t>地下空间</w:t>
      </w:r>
      <w:r>
        <w:rPr>
          <w:rFonts w:ascii="宋体" w:hAnsi="宋体" w:hint="eastAsia"/>
          <w:sz w:val="24"/>
        </w:rPr>
        <w:t>（以下简称“张江中区部分地块”）</w:t>
      </w:r>
      <w:r w:rsidRPr="00655FE3">
        <w:rPr>
          <w:rFonts w:ascii="宋体" w:hAnsi="宋体" w:hint="eastAsia"/>
          <w:sz w:val="24"/>
        </w:rPr>
        <w:t>的国有建设用地使用权</w:t>
      </w:r>
      <w:r>
        <w:rPr>
          <w:rFonts w:ascii="宋体" w:hAnsi="宋体" w:hint="eastAsia"/>
          <w:sz w:val="24"/>
        </w:rPr>
        <w:t>。</w:t>
      </w:r>
    </w:p>
    <w:p w14:paraId="271C0BC3" w14:textId="77777777" w:rsidR="00AA6188"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目前，东</w:t>
      </w:r>
      <w:proofErr w:type="gramStart"/>
      <w:r w:rsidRPr="00AA6188">
        <w:rPr>
          <w:rFonts w:ascii="宋体" w:hAnsi="宋体" w:hint="eastAsia"/>
          <w:sz w:val="24"/>
        </w:rPr>
        <w:t>翌</w:t>
      </w:r>
      <w:proofErr w:type="gramEnd"/>
      <w:r w:rsidRPr="00AA6188">
        <w:rPr>
          <w:rFonts w:ascii="宋体" w:hAnsi="宋体" w:hint="eastAsia"/>
          <w:sz w:val="24"/>
        </w:rPr>
        <w:t>置业已设立四家全资子公司（上海翌鑫置业有限公司、上海翌久置业有限公</w:t>
      </w:r>
      <w:r w:rsidRPr="00B32669">
        <w:rPr>
          <w:rFonts w:ascii="宋体" w:hAnsi="宋体" w:hint="eastAsia"/>
          <w:sz w:val="24"/>
        </w:rPr>
        <w:t>司、上海翌廷置业有限公司、上海翌淼置业有限公司），从事张江中区</w:t>
      </w:r>
      <w:r w:rsidRPr="00B32669">
        <w:rPr>
          <w:rFonts w:ascii="宋体" w:hAnsi="宋体"/>
          <w:sz w:val="24"/>
        </w:rPr>
        <w:t>56-01、57-01、73-02、74-01、75-02 地块及 57-02 公共绿地、学林路、卓慧路、</w:t>
      </w:r>
      <w:proofErr w:type="gramStart"/>
      <w:r w:rsidRPr="00B32669">
        <w:rPr>
          <w:rFonts w:ascii="宋体" w:hAnsi="宋体"/>
          <w:sz w:val="24"/>
        </w:rPr>
        <w:t>百科路</w:t>
      </w:r>
      <w:proofErr w:type="gramEnd"/>
      <w:r w:rsidRPr="00B32669">
        <w:rPr>
          <w:rFonts w:ascii="宋体" w:hAnsi="宋体"/>
          <w:sz w:val="24"/>
        </w:rPr>
        <w:t>地下空间</w:t>
      </w:r>
      <w:r w:rsidRPr="00B32669">
        <w:rPr>
          <w:rFonts w:ascii="宋体" w:hAnsi="宋体" w:hint="eastAsia"/>
          <w:sz w:val="24"/>
        </w:rPr>
        <w:t>的开发工作，上述地块的具体情况和规划指</w:t>
      </w:r>
      <w:r w:rsidRPr="00AA6188">
        <w:rPr>
          <w:rFonts w:ascii="宋体" w:hAnsi="宋体" w:hint="eastAsia"/>
          <w:sz w:val="24"/>
        </w:rPr>
        <w:t>标详见下表：</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89"/>
        <w:gridCol w:w="1681"/>
        <w:gridCol w:w="1559"/>
        <w:gridCol w:w="1985"/>
        <w:gridCol w:w="992"/>
        <w:gridCol w:w="850"/>
      </w:tblGrid>
      <w:tr w:rsidR="00AA6188" w:rsidRPr="00F72F4E" w14:paraId="4797CB90" w14:textId="77777777" w:rsidTr="00C433A1">
        <w:trPr>
          <w:trHeight w:val="983"/>
          <w:jc w:val="center"/>
        </w:trPr>
        <w:tc>
          <w:tcPr>
            <w:tcW w:w="2689" w:type="dxa"/>
            <w:shd w:val="clear" w:color="auto" w:fill="auto"/>
            <w:tcMar>
              <w:top w:w="0" w:type="dxa"/>
              <w:left w:w="108" w:type="dxa"/>
              <w:bottom w:w="0" w:type="dxa"/>
              <w:right w:w="108" w:type="dxa"/>
            </w:tcMar>
            <w:vAlign w:val="center"/>
            <w:hideMark/>
          </w:tcPr>
          <w:p w14:paraId="79FBF25B" w14:textId="77777777" w:rsidR="00AA6188" w:rsidRPr="00D371EA" w:rsidRDefault="00AA6188" w:rsidP="00C433A1">
            <w:pPr>
              <w:adjustRightInd w:val="0"/>
              <w:snapToGrid w:val="0"/>
              <w:spacing w:after="50" w:line="480" w:lineRule="exact"/>
              <w:ind w:right="-107" w:firstLineChars="9" w:firstLine="22"/>
              <w:jc w:val="center"/>
              <w:rPr>
                <w:rFonts w:ascii="宋体" w:hAnsi="宋体"/>
                <w:sz w:val="24"/>
              </w:rPr>
            </w:pPr>
            <w:r w:rsidRPr="00D371EA">
              <w:rPr>
                <w:rFonts w:ascii="宋体" w:hAnsi="宋体" w:hint="eastAsia"/>
                <w:sz w:val="24"/>
              </w:rPr>
              <w:t>地块名称</w:t>
            </w:r>
          </w:p>
        </w:tc>
        <w:tc>
          <w:tcPr>
            <w:tcW w:w="1681" w:type="dxa"/>
            <w:shd w:val="clear" w:color="auto" w:fill="auto"/>
            <w:tcMar>
              <w:top w:w="0" w:type="dxa"/>
              <w:left w:w="108" w:type="dxa"/>
              <w:bottom w:w="0" w:type="dxa"/>
              <w:right w:w="108" w:type="dxa"/>
            </w:tcMar>
            <w:vAlign w:val="center"/>
            <w:hideMark/>
          </w:tcPr>
          <w:p w14:paraId="518D87F1" w14:textId="77777777" w:rsidR="00AA6188" w:rsidRPr="00D371EA" w:rsidRDefault="00AA6188" w:rsidP="00C433A1">
            <w:pPr>
              <w:adjustRightInd w:val="0"/>
              <w:snapToGrid w:val="0"/>
              <w:spacing w:after="50" w:line="480" w:lineRule="exact"/>
              <w:ind w:right="-107" w:firstLineChars="100" w:firstLine="240"/>
              <w:rPr>
                <w:rFonts w:ascii="宋体" w:hAnsi="宋体"/>
                <w:sz w:val="24"/>
              </w:rPr>
            </w:pPr>
            <w:r w:rsidRPr="00D371EA">
              <w:rPr>
                <w:rFonts w:ascii="宋体" w:hAnsi="宋体" w:hint="eastAsia"/>
                <w:sz w:val="24"/>
              </w:rPr>
              <w:t>四至范围</w:t>
            </w:r>
          </w:p>
        </w:tc>
        <w:tc>
          <w:tcPr>
            <w:tcW w:w="1559" w:type="dxa"/>
            <w:shd w:val="clear" w:color="auto" w:fill="auto"/>
            <w:tcMar>
              <w:top w:w="0" w:type="dxa"/>
              <w:left w:w="108" w:type="dxa"/>
              <w:bottom w:w="0" w:type="dxa"/>
              <w:right w:w="108" w:type="dxa"/>
            </w:tcMar>
            <w:vAlign w:val="center"/>
            <w:hideMark/>
          </w:tcPr>
          <w:p w14:paraId="3DA4FE32" w14:textId="77777777" w:rsidR="00AA6188"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土地用途</w:t>
            </w:r>
          </w:p>
          <w:p w14:paraId="7DB88F3D" w14:textId="77777777" w:rsidR="00AA6188" w:rsidRDefault="00AA6188" w:rsidP="00C433A1">
            <w:pPr>
              <w:adjustRightInd w:val="0"/>
              <w:snapToGrid w:val="0"/>
              <w:spacing w:after="50" w:line="480" w:lineRule="exact"/>
              <w:jc w:val="center"/>
              <w:rPr>
                <w:rFonts w:ascii="宋体" w:hAnsi="宋体"/>
                <w:sz w:val="24"/>
              </w:rPr>
            </w:pPr>
            <w:r>
              <w:rPr>
                <w:rFonts w:ascii="宋体" w:hAnsi="宋体" w:hint="eastAsia"/>
                <w:sz w:val="24"/>
              </w:rPr>
              <w:t>和</w:t>
            </w:r>
          </w:p>
          <w:p w14:paraId="2C5C1784" w14:textId="77777777" w:rsidR="00AA6188" w:rsidRPr="00D371EA" w:rsidRDefault="00AA6188" w:rsidP="00C433A1">
            <w:pPr>
              <w:adjustRightInd w:val="0"/>
              <w:snapToGrid w:val="0"/>
              <w:spacing w:after="50" w:line="480" w:lineRule="exact"/>
              <w:jc w:val="center"/>
              <w:rPr>
                <w:rFonts w:ascii="宋体" w:hAnsi="宋体"/>
                <w:sz w:val="24"/>
              </w:rPr>
            </w:pPr>
            <w:r>
              <w:rPr>
                <w:rFonts w:ascii="宋体" w:hAnsi="宋体" w:hint="eastAsia"/>
                <w:sz w:val="24"/>
              </w:rPr>
              <w:t>出让年限</w:t>
            </w:r>
          </w:p>
        </w:tc>
        <w:tc>
          <w:tcPr>
            <w:tcW w:w="1985" w:type="dxa"/>
            <w:shd w:val="clear" w:color="auto" w:fill="auto"/>
            <w:tcMar>
              <w:top w:w="0" w:type="dxa"/>
              <w:left w:w="108" w:type="dxa"/>
              <w:bottom w:w="0" w:type="dxa"/>
              <w:right w:w="108" w:type="dxa"/>
            </w:tcMar>
            <w:vAlign w:val="center"/>
            <w:hideMark/>
          </w:tcPr>
          <w:p w14:paraId="63FEDC45"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土地总面积</w:t>
            </w:r>
          </w:p>
          <w:p w14:paraId="4355418C"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(平方米)</w:t>
            </w:r>
          </w:p>
        </w:tc>
        <w:tc>
          <w:tcPr>
            <w:tcW w:w="1842" w:type="dxa"/>
            <w:gridSpan w:val="2"/>
            <w:vAlign w:val="center"/>
          </w:tcPr>
          <w:p w14:paraId="38C062B7" w14:textId="77777777" w:rsidR="00AA6188" w:rsidRPr="00D371EA" w:rsidRDefault="00AA6188" w:rsidP="00C433A1">
            <w:pPr>
              <w:adjustRightInd w:val="0"/>
              <w:snapToGrid w:val="0"/>
              <w:spacing w:after="50" w:line="480" w:lineRule="exact"/>
              <w:ind w:firstLineChars="235" w:firstLine="564"/>
              <w:rPr>
                <w:rFonts w:ascii="宋体" w:hAnsi="宋体"/>
                <w:sz w:val="24"/>
              </w:rPr>
            </w:pPr>
            <w:r w:rsidRPr="00D371EA">
              <w:rPr>
                <w:rFonts w:ascii="宋体" w:hAnsi="宋体" w:hint="eastAsia"/>
                <w:sz w:val="24"/>
              </w:rPr>
              <w:t>容积率</w:t>
            </w:r>
          </w:p>
        </w:tc>
      </w:tr>
      <w:tr w:rsidR="00AA6188" w:rsidRPr="00F72F4E" w14:paraId="2AA8C66F" w14:textId="77777777" w:rsidTr="00C433A1">
        <w:trPr>
          <w:trHeight w:val="652"/>
          <w:jc w:val="center"/>
        </w:trPr>
        <w:tc>
          <w:tcPr>
            <w:tcW w:w="2689" w:type="dxa"/>
            <w:vMerge w:val="restart"/>
            <w:shd w:val="clear" w:color="auto" w:fill="auto"/>
            <w:tcMar>
              <w:top w:w="0" w:type="dxa"/>
              <w:left w:w="108" w:type="dxa"/>
              <w:bottom w:w="0" w:type="dxa"/>
              <w:right w:w="108" w:type="dxa"/>
            </w:tcMar>
            <w:vAlign w:val="center"/>
            <w:hideMark/>
          </w:tcPr>
          <w:p w14:paraId="25693F49" w14:textId="77777777" w:rsidR="00AA6188" w:rsidRPr="00D371EA" w:rsidRDefault="00AA6188" w:rsidP="00C433A1">
            <w:pPr>
              <w:adjustRightInd w:val="0"/>
              <w:snapToGrid w:val="0"/>
              <w:spacing w:after="50" w:line="480" w:lineRule="exact"/>
              <w:rPr>
                <w:rFonts w:ascii="宋体" w:hAnsi="宋体"/>
                <w:sz w:val="24"/>
              </w:rPr>
            </w:pPr>
            <w:r w:rsidRPr="00D371EA">
              <w:rPr>
                <w:rFonts w:ascii="宋体" w:hAnsi="宋体" w:hint="eastAsia"/>
                <w:sz w:val="24"/>
              </w:rPr>
              <w:t>浦东新区张江中区56-01、57-01、73-02、74-01、75-02地块及57-02公共绿地、学林路、卓慧路、</w:t>
            </w:r>
            <w:proofErr w:type="gramStart"/>
            <w:r w:rsidRPr="00D371EA">
              <w:rPr>
                <w:rFonts w:ascii="宋体" w:hAnsi="宋体" w:hint="eastAsia"/>
                <w:sz w:val="24"/>
              </w:rPr>
              <w:t>百科路</w:t>
            </w:r>
            <w:proofErr w:type="gramEnd"/>
            <w:r w:rsidRPr="00D371EA">
              <w:rPr>
                <w:rFonts w:ascii="宋体" w:hAnsi="宋体" w:hint="eastAsia"/>
                <w:sz w:val="24"/>
              </w:rPr>
              <w:t>地下空间</w:t>
            </w:r>
          </w:p>
        </w:tc>
        <w:tc>
          <w:tcPr>
            <w:tcW w:w="1681" w:type="dxa"/>
            <w:vMerge w:val="restart"/>
            <w:shd w:val="clear" w:color="auto" w:fill="auto"/>
            <w:tcMar>
              <w:top w:w="0" w:type="dxa"/>
              <w:left w:w="108" w:type="dxa"/>
              <w:bottom w:w="0" w:type="dxa"/>
              <w:right w:w="108" w:type="dxa"/>
            </w:tcMar>
            <w:vAlign w:val="center"/>
            <w:hideMark/>
          </w:tcPr>
          <w:p w14:paraId="51ADA38B" w14:textId="77777777" w:rsidR="00AA6188" w:rsidRPr="00D371EA" w:rsidRDefault="00AA6188" w:rsidP="00C433A1">
            <w:pPr>
              <w:adjustRightInd w:val="0"/>
              <w:snapToGrid w:val="0"/>
              <w:spacing w:after="50" w:line="480" w:lineRule="exact"/>
              <w:rPr>
                <w:rFonts w:ascii="宋体" w:hAnsi="宋体"/>
                <w:sz w:val="24"/>
              </w:rPr>
            </w:pPr>
            <w:r w:rsidRPr="00D371EA">
              <w:rPr>
                <w:rFonts w:ascii="宋体" w:hAnsi="宋体" w:hint="eastAsia"/>
                <w:sz w:val="24"/>
              </w:rPr>
              <w:t>东至</w:t>
            </w:r>
            <w:proofErr w:type="gramStart"/>
            <w:r w:rsidRPr="00D371EA">
              <w:rPr>
                <w:rFonts w:ascii="宋体" w:hAnsi="宋体" w:hint="eastAsia"/>
                <w:sz w:val="24"/>
              </w:rPr>
              <w:t>卓闻路</w:t>
            </w:r>
            <w:proofErr w:type="gramEnd"/>
            <w:r w:rsidRPr="00D371EA">
              <w:rPr>
                <w:rFonts w:ascii="宋体" w:hAnsi="宋体" w:hint="eastAsia"/>
                <w:sz w:val="24"/>
              </w:rPr>
              <w:t>,西至学贤路,南至</w:t>
            </w:r>
            <w:proofErr w:type="gramStart"/>
            <w:r w:rsidRPr="00D371EA">
              <w:rPr>
                <w:rFonts w:ascii="宋体" w:hAnsi="宋体" w:hint="eastAsia"/>
                <w:sz w:val="24"/>
              </w:rPr>
              <w:t>环科路</w:t>
            </w:r>
            <w:proofErr w:type="gramEnd"/>
            <w:r w:rsidRPr="00D371EA">
              <w:rPr>
                <w:rFonts w:ascii="宋体" w:hAnsi="宋体" w:hint="eastAsia"/>
                <w:sz w:val="24"/>
              </w:rPr>
              <w:t>,北至海科路</w:t>
            </w:r>
          </w:p>
        </w:tc>
        <w:tc>
          <w:tcPr>
            <w:tcW w:w="1559" w:type="dxa"/>
            <w:vMerge w:val="restart"/>
            <w:shd w:val="clear" w:color="auto" w:fill="auto"/>
            <w:tcMar>
              <w:top w:w="0" w:type="dxa"/>
              <w:left w:w="108" w:type="dxa"/>
              <w:bottom w:w="0" w:type="dxa"/>
              <w:right w:w="108" w:type="dxa"/>
            </w:tcMar>
            <w:vAlign w:val="center"/>
            <w:hideMark/>
          </w:tcPr>
          <w:p w14:paraId="0D67E50A" w14:textId="77777777" w:rsidR="00AA6188" w:rsidRPr="00D371EA" w:rsidRDefault="00AA6188" w:rsidP="00C433A1">
            <w:pPr>
              <w:adjustRightInd w:val="0"/>
              <w:snapToGrid w:val="0"/>
              <w:spacing w:after="50" w:line="480" w:lineRule="exact"/>
              <w:rPr>
                <w:rFonts w:ascii="宋体" w:hAnsi="宋体"/>
                <w:sz w:val="24"/>
              </w:rPr>
            </w:pPr>
            <w:r>
              <w:rPr>
                <w:rFonts w:ascii="宋体" w:hAnsi="宋体" w:hint="eastAsia"/>
                <w:sz w:val="24"/>
              </w:rPr>
              <w:t>办公50年</w:t>
            </w:r>
            <w:r w:rsidRPr="00D371EA">
              <w:rPr>
                <w:rFonts w:ascii="宋体" w:hAnsi="宋体" w:hint="eastAsia"/>
                <w:sz w:val="24"/>
              </w:rPr>
              <w:t>、</w:t>
            </w:r>
            <w:r>
              <w:rPr>
                <w:rFonts w:ascii="宋体" w:hAnsi="宋体" w:hint="eastAsia"/>
                <w:sz w:val="24"/>
              </w:rPr>
              <w:t>商业</w:t>
            </w:r>
            <w:proofErr w:type="gramStart"/>
            <w:r>
              <w:rPr>
                <w:rFonts w:ascii="宋体" w:hAnsi="宋体" w:hint="eastAsia"/>
                <w:sz w:val="24"/>
              </w:rPr>
              <w:t>及其</w:t>
            </w:r>
            <w:r w:rsidRPr="00D371EA">
              <w:rPr>
                <w:rFonts w:ascii="宋体" w:hAnsi="宋体" w:hint="eastAsia"/>
                <w:sz w:val="24"/>
              </w:rPr>
              <w:t>他商服用</w:t>
            </w:r>
            <w:proofErr w:type="gramEnd"/>
            <w:r w:rsidRPr="00D371EA">
              <w:rPr>
                <w:rFonts w:ascii="宋体" w:hAnsi="宋体" w:hint="eastAsia"/>
                <w:sz w:val="24"/>
              </w:rPr>
              <w:t>地</w:t>
            </w:r>
            <w:r>
              <w:rPr>
                <w:rFonts w:ascii="宋体" w:hAnsi="宋体" w:hint="eastAsia"/>
                <w:sz w:val="24"/>
              </w:rPr>
              <w:t>40年</w:t>
            </w:r>
            <w:r w:rsidRPr="00D371EA">
              <w:rPr>
                <w:rFonts w:ascii="宋体" w:hAnsi="宋体" w:hint="eastAsia"/>
                <w:sz w:val="24"/>
              </w:rPr>
              <w:t>、租赁住房</w:t>
            </w:r>
            <w:r>
              <w:rPr>
                <w:rFonts w:ascii="宋体" w:hAnsi="宋体" w:hint="eastAsia"/>
                <w:sz w:val="24"/>
              </w:rPr>
              <w:t>70年</w:t>
            </w:r>
          </w:p>
        </w:tc>
        <w:tc>
          <w:tcPr>
            <w:tcW w:w="1985" w:type="dxa"/>
            <w:vMerge w:val="restart"/>
            <w:shd w:val="clear" w:color="auto" w:fill="auto"/>
            <w:tcMar>
              <w:top w:w="0" w:type="dxa"/>
              <w:left w:w="108" w:type="dxa"/>
              <w:bottom w:w="0" w:type="dxa"/>
              <w:right w:w="108" w:type="dxa"/>
            </w:tcMar>
            <w:vAlign w:val="center"/>
            <w:hideMark/>
          </w:tcPr>
          <w:p w14:paraId="65CA666E" w14:textId="77777777" w:rsidR="00AA6188" w:rsidRPr="00D371EA" w:rsidRDefault="00AA6188" w:rsidP="00C433A1">
            <w:pPr>
              <w:adjustRightInd w:val="0"/>
              <w:snapToGrid w:val="0"/>
              <w:spacing w:after="50" w:line="480" w:lineRule="exact"/>
              <w:jc w:val="left"/>
              <w:rPr>
                <w:rFonts w:ascii="宋体" w:hAnsi="宋体"/>
                <w:sz w:val="24"/>
              </w:rPr>
            </w:pPr>
            <w:r w:rsidRPr="00D371EA">
              <w:rPr>
                <w:rFonts w:ascii="宋体" w:hAnsi="宋体" w:hint="eastAsia"/>
                <w:sz w:val="24"/>
              </w:rPr>
              <w:t>89927.4（地下水平投影占地面积：111087.5）</w:t>
            </w:r>
          </w:p>
        </w:tc>
        <w:tc>
          <w:tcPr>
            <w:tcW w:w="992" w:type="dxa"/>
            <w:vAlign w:val="center"/>
          </w:tcPr>
          <w:p w14:paraId="20C873D6"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56-01</w:t>
            </w:r>
          </w:p>
        </w:tc>
        <w:tc>
          <w:tcPr>
            <w:tcW w:w="850" w:type="dxa"/>
            <w:vAlign w:val="center"/>
          </w:tcPr>
          <w:p w14:paraId="4510A578" w14:textId="77777777" w:rsidR="00AA6188" w:rsidRPr="00D371EA" w:rsidRDefault="00AA6188" w:rsidP="00C433A1">
            <w:pPr>
              <w:adjustRightInd w:val="0"/>
              <w:snapToGrid w:val="0"/>
              <w:spacing w:after="50" w:line="480" w:lineRule="exact"/>
              <w:ind w:firstLineChars="100" w:firstLine="240"/>
              <w:rPr>
                <w:rFonts w:ascii="宋体" w:hAnsi="宋体"/>
                <w:sz w:val="24"/>
              </w:rPr>
            </w:pPr>
            <w:r w:rsidRPr="00D371EA">
              <w:rPr>
                <w:rFonts w:ascii="宋体" w:hAnsi="宋体" w:hint="eastAsia"/>
                <w:sz w:val="24"/>
              </w:rPr>
              <w:t>4.8</w:t>
            </w:r>
          </w:p>
        </w:tc>
      </w:tr>
      <w:tr w:rsidR="00AA6188" w:rsidRPr="00F72F4E" w14:paraId="6D84B582" w14:textId="77777777" w:rsidTr="00C433A1">
        <w:trPr>
          <w:trHeight w:val="564"/>
          <w:jc w:val="center"/>
        </w:trPr>
        <w:tc>
          <w:tcPr>
            <w:tcW w:w="2689" w:type="dxa"/>
            <w:vMerge/>
            <w:shd w:val="clear" w:color="auto" w:fill="auto"/>
            <w:tcMar>
              <w:top w:w="0" w:type="dxa"/>
              <w:left w:w="108" w:type="dxa"/>
              <w:bottom w:w="0" w:type="dxa"/>
              <w:right w:w="108" w:type="dxa"/>
            </w:tcMar>
            <w:vAlign w:val="center"/>
          </w:tcPr>
          <w:p w14:paraId="27D161FF" w14:textId="77777777" w:rsidR="00AA6188" w:rsidRPr="00D371EA" w:rsidRDefault="00AA6188" w:rsidP="00C433A1">
            <w:pPr>
              <w:adjustRightInd w:val="0"/>
              <w:snapToGrid w:val="0"/>
              <w:spacing w:after="50" w:line="480" w:lineRule="exact"/>
              <w:rPr>
                <w:rFonts w:ascii="宋体" w:hAnsi="宋体"/>
                <w:sz w:val="24"/>
              </w:rPr>
            </w:pPr>
          </w:p>
        </w:tc>
        <w:tc>
          <w:tcPr>
            <w:tcW w:w="1681" w:type="dxa"/>
            <w:vMerge/>
            <w:shd w:val="clear" w:color="auto" w:fill="auto"/>
            <w:tcMar>
              <w:top w:w="0" w:type="dxa"/>
              <w:left w:w="108" w:type="dxa"/>
              <w:bottom w:w="0" w:type="dxa"/>
              <w:right w:w="108" w:type="dxa"/>
            </w:tcMar>
            <w:vAlign w:val="center"/>
          </w:tcPr>
          <w:p w14:paraId="26A94D07" w14:textId="77777777" w:rsidR="00AA6188" w:rsidRPr="00D371EA" w:rsidRDefault="00AA6188" w:rsidP="00C433A1">
            <w:pPr>
              <w:adjustRightInd w:val="0"/>
              <w:snapToGrid w:val="0"/>
              <w:spacing w:after="50" w:line="480" w:lineRule="exact"/>
              <w:rPr>
                <w:rFonts w:ascii="宋体" w:hAnsi="宋体"/>
                <w:sz w:val="24"/>
              </w:rPr>
            </w:pPr>
          </w:p>
        </w:tc>
        <w:tc>
          <w:tcPr>
            <w:tcW w:w="1559" w:type="dxa"/>
            <w:vMerge/>
            <w:shd w:val="clear" w:color="auto" w:fill="auto"/>
            <w:tcMar>
              <w:top w:w="0" w:type="dxa"/>
              <w:left w:w="108" w:type="dxa"/>
              <w:bottom w:w="0" w:type="dxa"/>
              <w:right w:w="108" w:type="dxa"/>
            </w:tcMar>
            <w:vAlign w:val="center"/>
          </w:tcPr>
          <w:p w14:paraId="47FCD3C5" w14:textId="77777777" w:rsidR="00AA6188" w:rsidRPr="00D371EA" w:rsidRDefault="00AA6188" w:rsidP="00C433A1">
            <w:pPr>
              <w:adjustRightInd w:val="0"/>
              <w:snapToGrid w:val="0"/>
              <w:spacing w:after="50" w:line="480" w:lineRule="exact"/>
              <w:rPr>
                <w:rFonts w:ascii="宋体" w:hAnsi="宋体"/>
                <w:sz w:val="24"/>
              </w:rPr>
            </w:pPr>
          </w:p>
        </w:tc>
        <w:tc>
          <w:tcPr>
            <w:tcW w:w="1985" w:type="dxa"/>
            <w:vMerge/>
            <w:shd w:val="clear" w:color="auto" w:fill="auto"/>
            <w:tcMar>
              <w:top w:w="0" w:type="dxa"/>
              <w:left w:w="108" w:type="dxa"/>
              <w:bottom w:w="0" w:type="dxa"/>
              <w:right w:w="108" w:type="dxa"/>
            </w:tcMar>
            <w:vAlign w:val="center"/>
          </w:tcPr>
          <w:p w14:paraId="4954F852" w14:textId="77777777" w:rsidR="00AA6188" w:rsidRPr="00D371EA" w:rsidRDefault="00AA6188" w:rsidP="00C433A1">
            <w:pPr>
              <w:adjustRightInd w:val="0"/>
              <w:snapToGrid w:val="0"/>
              <w:spacing w:after="50" w:line="480" w:lineRule="exact"/>
              <w:ind w:firstLineChars="235" w:firstLine="564"/>
              <w:rPr>
                <w:rFonts w:ascii="宋体" w:hAnsi="宋体"/>
                <w:sz w:val="24"/>
              </w:rPr>
            </w:pPr>
          </w:p>
        </w:tc>
        <w:tc>
          <w:tcPr>
            <w:tcW w:w="992" w:type="dxa"/>
            <w:vAlign w:val="center"/>
          </w:tcPr>
          <w:p w14:paraId="5BC72DC4"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57-01</w:t>
            </w:r>
          </w:p>
        </w:tc>
        <w:tc>
          <w:tcPr>
            <w:tcW w:w="850" w:type="dxa"/>
            <w:vAlign w:val="center"/>
          </w:tcPr>
          <w:p w14:paraId="03339917"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11.0</w:t>
            </w:r>
          </w:p>
        </w:tc>
      </w:tr>
      <w:tr w:rsidR="00AA6188" w:rsidRPr="00F72F4E" w14:paraId="5444829D" w14:textId="77777777" w:rsidTr="00C433A1">
        <w:trPr>
          <w:trHeight w:val="575"/>
          <w:jc w:val="center"/>
        </w:trPr>
        <w:tc>
          <w:tcPr>
            <w:tcW w:w="2689" w:type="dxa"/>
            <w:vMerge/>
            <w:shd w:val="clear" w:color="auto" w:fill="auto"/>
            <w:tcMar>
              <w:top w:w="0" w:type="dxa"/>
              <w:left w:w="108" w:type="dxa"/>
              <w:bottom w:w="0" w:type="dxa"/>
              <w:right w:w="108" w:type="dxa"/>
            </w:tcMar>
            <w:vAlign w:val="center"/>
          </w:tcPr>
          <w:p w14:paraId="1734383D" w14:textId="77777777" w:rsidR="00AA6188" w:rsidRPr="00D371EA" w:rsidRDefault="00AA6188" w:rsidP="00C433A1">
            <w:pPr>
              <w:adjustRightInd w:val="0"/>
              <w:snapToGrid w:val="0"/>
              <w:spacing w:after="50" w:line="480" w:lineRule="exact"/>
              <w:rPr>
                <w:rFonts w:ascii="宋体" w:hAnsi="宋体"/>
                <w:sz w:val="24"/>
              </w:rPr>
            </w:pPr>
          </w:p>
        </w:tc>
        <w:tc>
          <w:tcPr>
            <w:tcW w:w="1681" w:type="dxa"/>
            <w:vMerge/>
            <w:shd w:val="clear" w:color="auto" w:fill="auto"/>
            <w:tcMar>
              <w:top w:w="0" w:type="dxa"/>
              <w:left w:w="108" w:type="dxa"/>
              <w:bottom w:w="0" w:type="dxa"/>
              <w:right w:w="108" w:type="dxa"/>
            </w:tcMar>
            <w:vAlign w:val="center"/>
          </w:tcPr>
          <w:p w14:paraId="495E37E1" w14:textId="77777777" w:rsidR="00AA6188" w:rsidRPr="00D371EA" w:rsidRDefault="00AA6188" w:rsidP="00C433A1">
            <w:pPr>
              <w:adjustRightInd w:val="0"/>
              <w:snapToGrid w:val="0"/>
              <w:spacing w:after="50" w:line="480" w:lineRule="exact"/>
              <w:rPr>
                <w:rFonts w:ascii="宋体" w:hAnsi="宋体"/>
                <w:sz w:val="24"/>
              </w:rPr>
            </w:pPr>
          </w:p>
        </w:tc>
        <w:tc>
          <w:tcPr>
            <w:tcW w:w="1559" w:type="dxa"/>
            <w:vMerge/>
            <w:shd w:val="clear" w:color="auto" w:fill="auto"/>
            <w:tcMar>
              <w:top w:w="0" w:type="dxa"/>
              <w:left w:w="108" w:type="dxa"/>
              <w:bottom w:w="0" w:type="dxa"/>
              <w:right w:w="108" w:type="dxa"/>
            </w:tcMar>
            <w:vAlign w:val="center"/>
          </w:tcPr>
          <w:p w14:paraId="3E9283A9" w14:textId="77777777" w:rsidR="00AA6188" w:rsidRPr="00D371EA" w:rsidRDefault="00AA6188" w:rsidP="00C433A1">
            <w:pPr>
              <w:adjustRightInd w:val="0"/>
              <w:snapToGrid w:val="0"/>
              <w:spacing w:after="50" w:line="480" w:lineRule="exact"/>
              <w:rPr>
                <w:rFonts w:ascii="宋体" w:hAnsi="宋体"/>
                <w:sz w:val="24"/>
              </w:rPr>
            </w:pPr>
          </w:p>
        </w:tc>
        <w:tc>
          <w:tcPr>
            <w:tcW w:w="1985" w:type="dxa"/>
            <w:vMerge/>
            <w:shd w:val="clear" w:color="auto" w:fill="auto"/>
            <w:tcMar>
              <w:top w:w="0" w:type="dxa"/>
              <w:left w:w="108" w:type="dxa"/>
              <w:bottom w:w="0" w:type="dxa"/>
              <w:right w:w="108" w:type="dxa"/>
            </w:tcMar>
            <w:vAlign w:val="center"/>
          </w:tcPr>
          <w:p w14:paraId="15D1CAD5" w14:textId="77777777" w:rsidR="00AA6188" w:rsidRPr="00D371EA" w:rsidRDefault="00AA6188" w:rsidP="00C433A1">
            <w:pPr>
              <w:adjustRightInd w:val="0"/>
              <w:snapToGrid w:val="0"/>
              <w:spacing w:after="50" w:line="480" w:lineRule="exact"/>
              <w:ind w:firstLineChars="235" w:firstLine="564"/>
              <w:rPr>
                <w:rFonts w:ascii="宋体" w:hAnsi="宋体"/>
                <w:sz w:val="24"/>
              </w:rPr>
            </w:pPr>
          </w:p>
        </w:tc>
        <w:tc>
          <w:tcPr>
            <w:tcW w:w="992" w:type="dxa"/>
            <w:vAlign w:val="center"/>
          </w:tcPr>
          <w:p w14:paraId="2C5EF817"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73-02</w:t>
            </w:r>
          </w:p>
        </w:tc>
        <w:tc>
          <w:tcPr>
            <w:tcW w:w="850" w:type="dxa"/>
            <w:vAlign w:val="center"/>
          </w:tcPr>
          <w:p w14:paraId="5260525C"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3.5</w:t>
            </w:r>
          </w:p>
        </w:tc>
      </w:tr>
      <w:tr w:rsidR="00AA6188" w:rsidRPr="00F72F4E" w14:paraId="4E3853FD" w14:textId="77777777" w:rsidTr="00C433A1">
        <w:trPr>
          <w:trHeight w:val="449"/>
          <w:jc w:val="center"/>
        </w:trPr>
        <w:tc>
          <w:tcPr>
            <w:tcW w:w="2689" w:type="dxa"/>
            <w:vMerge/>
            <w:shd w:val="clear" w:color="auto" w:fill="auto"/>
            <w:tcMar>
              <w:top w:w="0" w:type="dxa"/>
              <w:left w:w="108" w:type="dxa"/>
              <w:bottom w:w="0" w:type="dxa"/>
              <w:right w:w="108" w:type="dxa"/>
            </w:tcMar>
            <w:vAlign w:val="center"/>
          </w:tcPr>
          <w:p w14:paraId="6353B027" w14:textId="77777777" w:rsidR="00AA6188" w:rsidRPr="00D371EA" w:rsidRDefault="00AA6188" w:rsidP="00C433A1">
            <w:pPr>
              <w:adjustRightInd w:val="0"/>
              <w:snapToGrid w:val="0"/>
              <w:spacing w:after="50" w:line="480" w:lineRule="exact"/>
              <w:rPr>
                <w:rFonts w:ascii="宋体" w:hAnsi="宋体"/>
                <w:sz w:val="24"/>
              </w:rPr>
            </w:pPr>
          </w:p>
        </w:tc>
        <w:tc>
          <w:tcPr>
            <w:tcW w:w="1681" w:type="dxa"/>
            <w:vMerge/>
            <w:shd w:val="clear" w:color="auto" w:fill="auto"/>
            <w:tcMar>
              <w:top w:w="0" w:type="dxa"/>
              <w:left w:w="108" w:type="dxa"/>
              <w:bottom w:w="0" w:type="dxa"/>
              <w:right w:w="108" w:type="dxa"/>
            </w:tcMar>
            <w:vAlign w:val="center"/>
          </w:tcPr>
          <w:p w14:paraId="1C99B052" w14:textId="77777777" w:rsidR="00AA6188" w:rsidRPr="00D371EA" w:rsidRDefault="00AA6188" w:rsidP="00C433A1">
            <w:pPr>
              <w:adjustRightInd w:val="0"/>
              <w:snapToGrid w:val="0"/>
              <w:spacing w:after="50" w:line="480" w:lineRule="exact"/>
              <w:rPr>
                <w:rFonts w:ascii="宋体" w:hAnsi="宋体"/>
                <w:sz w:val="24"/>
              </w:rPr>
            </w:pPr>
          </w:p>
        </w:tc>
        <w:tc>
          <w:tcPr>
            <w:tcW w:w="1559" w:type="dxa"/>
            <w:vMerge/>
            <w:shd w:val="clear" w:color="auto" w:fill="auto"/>
            <w:tcMar>
              <w:top w:w="0" w:type="dxa"/>
              <w:left w:w="108" w:type="dxa"/>
              <w:bottom w:w="0" w:type="dxa"/>
              <w:right w:w="108" w:type="dxa"/>
            </w:tcMar>
            <w:vAlign w:val="center"/>
          </w:tcPr>
          <w:p w14:paraId="4F0DFFB2" w14:textId="77777777" w:rsidR="00AA6188" w:rsidRPr="00D371EA" w:rsidRDefault="00AA6188" w:rsidP="00C433A1">
            <w:pPr>
              <w:adjustRightInd w:val="0"/>
              <w:snapToGrid w:val="0"/>
              <w:spacing w:after="50" w:line="480" w:lineRule="exact"/>
              <w:rPr>
                <w:rFonts w:ascii="宋体" w:hAnsi="宋体"/>
                <w:sz w:val="24"/>
              </w:rPr>
            </w:pPr>
          </w:p>
        </w:tc>
        <w:tc>
          <w:tcPr>
            <w:tcW w:w="1985" w:type="dxa"/>
            <w:vMerge/>
            <w:shd w:val="clear" w:color="auto" w:fill="auto"/>
            <w:tcMar>
              <w:top w:w="0" w:type="dxa"/>
              <w:left w:w="108" w:type="dxa"/>
              <w:bottom w:w="0" w:type="dxa"/>
              <w:right w:w="108" w:type="dxa"/>
            </w:tcMar>
            <w:vAlign w:val="center"/>
          </w:tcPr>
          <w:p w14:paraId="67173B8F" w14:textId="77777777" w:rsidR="00AA6188" w:rsidRPr="00D371EA" w:rsidRDefault="00AA6188" w:rsidP="00C433A1">
            <w:pPr>
              <w:adjustRightInd w:val="0"/>
              <w:snapToGrid w:val="0"/>
              <w:spacing w:after="50" w:line="480" w:lineRule="exact"/>
              <w:ind w:firstLineChars="235" w:firstLine="564"/>
              <w:rPr>
                <w:rFonts w:ascii="宋体" w:hAnsi="宋体"/>
                <w:sz w:val="24"/>
              </w:rPr>
            </w:pPr>
          </w:p>
        </w:tc>
        <w:tc>
          <w:tcPr>
            <w:tcW w:w="992" w:type="dxa"/>
            <w:vAlign w:val="center"/>
          </w:tcPr>
          <w:p w14:paraId="0154CC5F"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74-01</w:t>
            </w:r>
          </w:p>
        </w:tc>
        <w:tc>
          <w:tcPr>
            <w:tcW w:w="850" w:type="dxa"/>
            <w:vAlign w:val="center"/>
          </w:tcPr>
          <w:p w14:paraId="2D310FCF"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5.0</w:t>
            </w:r>
          </w:p>
        </w:tc>
      </w:tr>
      <w:tr w:rsidR="00AA6188" w:rsidRPr="00F72F4E" w14:paraId="1081F4B1" w14:textId="77777777" w:rsidTr="00C433A1">
        <w:trPr>
          <w:trHeight w:val="329"/>
          <w:jc w:val="center"/>
        </w:trPr>
        <w:tc>
          <w:tcPr>
            <w:tcW w:w="2689" w:type="dxa"/>
            <w:vMerge/>
            <w:shd w:val="clear" w:color="auto" w:fill="auto"/>
            <w:tcMar>
              <w:top w:w="0" w:type="dxa"/>
              <w:left w:w="108" w:type="dxa"/>
              <w:bottom w:w="0" w:type="dxa"/>
              <w:right w:w="108" w:type="dxa"/>
            </w:tcMar>
            <w:vAlign w:val="center"/>
          </w:tcPr>
          <w:p w14:paraId="61FAE371" w14:textId="77777777" w:rsidR="00AA6188" w:rsidRPr="00D371EA" w:rsidRDefault="00AA6188" w:rsidP="00C433A1">
            <w:pPr>
              <w:adjustRightInd w:val="0"/>
              <w:snapToGrid w:val="0"/>
              <w:spacing w:after="50" w:line="480" w:lineRule="exact"/>
              <w:rPr>
                <w:rFonts w:ascii="宋体" w:hAnsi="宋体"/>
                <w:sz w:val="24"/>
              </w:rPr>
            </w:pPr>
          </w:p>
        </w:tc>
        <w:tc>
          <w:tcPr>
            <w:tcW w:w="1681" w:type="dxa"/>
            <w:vMerge/>
            <w:shd w:val="clear" w:color="auto" w:fill="auto"/>
            <w:tcMar>
              <w:top w:w="0" w:type="dxa"/>
              <w:left w:w="108" w:type="dxa"/>
              <w:bottom w:w="0" w:type="dxa"/>
              <w:right w:w="108" w:type="dxa"/>
            </w:tcMar>
            <w:vAlign w:val="center"/>
          </w:tcPr>
          <w:p w14:paraId="70F455FE" w14:textId="77777777" w:rsidR="00AA6188" w:rsidRPr="00D371EA" w:rsidRDefault="00AA6188" w:rsidP="00C433A1">
            <w:pPr>
              <w:adjustRightInd w:val="0"/>
              <w:snapToGrid w:val="0"/>
              <w:spacing w:after="50" w:line="480" w:lineRule="exact"/>
              <w:rPr>
                <w:rFonts w:ascii="宋体" w:hAnsi="宋体"/>
                <w:sz w:val="24"/>
              </w:rPr>
            </w:pPr>
          </w:p>
        </w:tc>
        <w:tc>
          <w:tcPr>
            <w:tcW w:w="1559" w:type="dxa"/>
            <w:vMerge/>
            <w:shd w:val="clear" w:color="auto" w:fill="auto"/>
            <w:tcMar>
              <w:top w:w="0" w:type="dxa"/>
              <w:left w:w="108" w:type="dxa"/>
              <w:bottom w:w="0" w:type="dxa"/>
              <w:right w:w="108" w:type="dxa"/>
            </w:tcMar>
            <w:vAlign w:val="center"/>
          </w:tcPr>
          <w:p w14:paraId="6893D959" w14:textId="77777777" w:rsidR="00AA6188" w:rsidRPr="00D371EA" w:rsidRDefault="00AA6188" w:rsidP="00C433A1">
            <w:pPr>
              <w:adjustRightInd w:val="0"/>
              <w:snapToGrid w:val="0"/>
              <w:spacing w:after="50" w:line="480" w:lineRule="exact"/>
              <w:rPr>
                <w:rFonts w:ascii="宋体" w:hAnsi="宋体"/>
                <w:sz w:val="24"/>
              </w:rPr>
            </w:pPr>
          </w:p>
        </w:tc>
        <w:tc>
          <w:tcPr>
            <w:tcW w:w="1985" w:type="dxa"/>
            <w:vMerge/>
            <w:shd w:val="clear" w:color="auto" w:fill="auto"/>
            <w:tcMar>
              <w:top w:w="0" w:type="dxa"/>
              <w:left w:w="108" w:type="dxa"/>
              <w:bottom w:w="0" w:type="dxa"/>
              <w:right w:w="108" w:type="dxa"/>
            </w:tcMar>
            <w:vAlign w:val="center"/>
          </w:tcPr>
          <w:p w14:paraId="0B0610B7" w14:textId="77777777" w:rsidR="00AA6188" w:rsidRPr="00D371EA" w:rsidRDefault="00AA6188" w:rsidP="00C433A1">
            <w:pPr>
              <w:adjustRightInd w:val="0"/>
              <w:snapToGrid w:val="0"/>
              <w:spacing w:after="50" w:line="480" w:lineRule="exact"/>
              <w:ind w:firstLineChars="235" w:firstLine="564"/>
              <w:rPr>
                <w:rFonts w:ascii="宋体" w:hAnsi="宋体"/>
                <w:sz w:val="24"/>
              </w:rPr>
            </w:pPr>
          </w:p>
        </w:tc>
        <w:tc>
          <w:tcPr>
            <w:tcW w:w="992" w:type="dxa"/>
            <w:vAlign w:val="center"/>
          </w:tcPr>
          <w:p w14:paraId="02BBE6BE"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75-02</w:t>
            </w:r>
          </w:p>
        </w:tc>
        <w:tc>
          <w:tcPr>
            <w:tcW w:w="850" w:type="dxa"/>
            <w:vAlign w:val="center"/>
          </w:tcPr>
          <w:p w14:paraId="7D8FCB94" w14:textId="77777777" w:rsidR="00AA6188" w:rsidRPr="00D371EA" w:rsidRDefault="00AA6188" w:rsidP="00C433A1">
            <w:pPr>
              <w:adjustRightInd w:val="0"/>
              <w:snapToGrid w:val="0"/>
              <w:spacing w:after="50" w:line="480" w:lineRule="exact"/>
              <w:jc w:val="center"/>
              <w:rPr>
                <w:rFonts w:ascii="宋体" w:hAnsi="宋体"/>
                <w:sz w:val="24"/>
              </w:rPr>
            </w:pPr>
            <w:r w:rsidRPr="00D371EA">
              <w:rPr>
                <w:rFonts w:ascii="宋体" w:hAnsi="宋体" w:hint="eastAsia"/>
                <w:sz w:val="24"/>
              </w:rPr>
              <w:t>4.1</w:t>
            </w:r>
          </w:p>
        </w:tc>
      </w:tr>
    </w:tbl>
    <w:p w14:paraId="0A30CAC3" w14:textId="3D1195FD" w:rsidR="00C209EE" w:rsidRDefault="00AA6188" w:rsidP="00AA6188">
      <w:pPr>
        <w:adjustRightInd w:val="0"/>
        <w:snapToGrid w:val="0"/>
        <w:spacing w:line="520" w:lineRule="atLeast"/>
        <w:ind w:firstLineChars="187" w:firstLine="449"/>
        <w:rPr>
          <w:rFonts w:ascii="宋体" w:hAnsi="宋体"/>
          <w:sz w:val="24"/>
        </w:rPr>
      </w:pPr>
      <w:r w:rsidRPr="00AA6188">
        <w:rPr>
          <w:rFonts w:ascii="宋体" w:hAnsi="宋体" w:hint="eastAsia"/>
          <w:sz w:val="24"/>
        </w:rPr>
        <w:t>截至目前全部地块均已取得审图合格证并完成总包招标，已于2</w:t>
      </w:r>
      <w:r w:rsidRPr="00AA6188">
        <w:rPr>
          <w:rFonts w:ascii="宋体" w:hAnsi="宋体"/>
          <w:sz w:val="24"/>
        </w:rPr>
        <w:t>019</w:t>
      </w:r>
      <w:r w:rsidRPr="00AA6188">
        <w:rPr>
          <w:rFonts w:ascii="宋体" w:hAnsi="宋体" w:hint="eastAsia"/>
          <w:sz w:val="24"/>
        </w:rPr>
        <w:t>年1</w:t>
      </w:r>
      <w:r w:rsidRPr="00AA6188">
        <w:rPr>
          <w:rFonts w:ascii="宋体" w:hAnsi="宋体"/>
          <w:sz w:val="24"/>
        </w:rPr>
        <w:t>2</w:t>
      </w:r>
      <w:r w:rsidRPr="00AA6188">
        <w:rPr>
          <w:rFonts w:ascii="宋体" w:hAnsi="宋体" w:hint="eastAsia"/>
          <w:sz w:val="24"/>
        </w:rPr>
        <w:t>月开工，建设工作正在有序推进中。</w:t>
      </w:r>
    </w:p>
    <w:p w14:paraId="66B3E5CC" w14:textId="77777777" w:rsidR="00AA6188" w:rsidRPr="00AA6188" w:rsidRDefault="00AA6188" w:rsidP="00AA6188">
      <w:pPr>
        <w:adjustRightInd w:val="0"/>
        <w:snapToGrid w:val="0"/>
        <w:spacing w:line="520" w:lineRule="atLeast"/>
        <w:ind w:firstLineChars="187" w:firstLine="449"/>
        <w:rPr>
          <w:rFonts w:ascii="宋体" w:hAnsi="宋体"/>
          <w:sz w:val="24"/>
        </w:rPr>
      </w:pPr>
    </w:p>
    <w:p w14:paraId="697C9B12" w14:textId="2608017D" w:rsidR="005459E2" w:rsidRPr="00947E07" w:rsidRDefault="00476F17" w:rsidP="005459E2">
      <w:pPr>
        <w:adjustRightInd w:val="0"/>
        <w:snapToGrid w:val="0"/>
        <w:spacing w:afterLines="50" w:after="156" w:line="480" w:lineRule="exact"/>
        <w:ind w:firstLineChars="200" w:firstLine="482"/>
        <w:rPr>
          <w:rFonts w:ascii="宋体" w:hAnsi="宋体"/>
          <w:b/>
          <w:sz w:val="24"/>
        </w:rPr>
      </w:pPr>
      <w:r w:rsidRPr="00947E07">
        <w:rPr>
          <w:rFonts w:ascii="宋体" w:hAnsi="宋体" w:hint="eastAsia"/>
          <w:b/>
          <w:sz w:val="24"/>
        </w:rPr>
        <w:t>四</w:t>
      </w:r>
      <w:r w:rsidR="005459E2" w:rsidRPr="00947E07">
        <w:rPr>
          <w:rFonts w:ascii="宋体" w:hAnsi="宋体"/>
          <w:b/>
          <w:sz w:val="24"/>
        </w:rPr>
        <w:t>、</w:t>
      </w:r>
      <w:r w:rsidR="00AA6188" w:rsidRPr="00AA6188">
        <w:rPr>
          <w:rFonts w:ascii="宋体" w:hAnsi="宋体" w:hint="eastAsia"/>
          <w:b/>
          <w:sz w:val="24"/>
        </w:rPr>
        <w:t>关联交易目的及对上市公司的影响</w:t>
      </w:r>
    </w:p>
    <w:p w14:paraId="2D7E5445" w14:textId="77777777" w:rsidR="00AA6188" w:rsidRPr="0055583A" w:rsidRDefault="00AA6188" w:rsidP="00AA6188">
      <w:pPr>
        <w:adjustRightInd w:val="0"/>
        <w:snapToGrid w:val="0"/>
        <w:spacing w:afterLines="50" w:after="156" w:line="480" w:lineRule="exact"/>
        <w:ind w:firstLineChars="200" w:firstLine="480"/>
        <w:rPr>
          <w:rFonts w:ascii="宋体" w:hAnsi="宋体"/>
          <w:sz w:val="24"/>
        </w:rPr>
      </w:pPr>
      <w:r>
        <w:rPr>
          <w:rFonts w:ascii="宋体" w:hAnsi="宋体" w:hint="eastAsia"/>
          <w:sz w:val="24"/>
        </w:rPr>
        <w:t>东</w:t>
      </w:r>
      <w:proofErr w:type="gramStart"/>
      <w:r>
        <w:rPr>
          <w:rFonts w:ascii="宋体" w:hAnsi="宋体" w:hint="eastAsia"/>
          <w:sz w:val="24"/>
        </w:rPr>
        <w:t>翌</w:t>
      </w:r>
      <w:proofErr w:type="gramEnd"/>
      <w:r>
        <w:rPr>
          <w:rFonts w:ascii="宋体" w:hAnsi="宋体" w:hint="eastAsia"/>
          <w:sz w:val="24"/>
        </w:rPr>
        <w:t>置业所开发的</w:t>
      </w:r>
      <w:r w:rsidRPr="00966B3A">
        <w:rPr>
          <w:rFonts w:ascii="宋体" w:hAnsi="宋体" w:hint="eastAsia"/>
          <w:sz w:val="24"/>
        </w:rPr>
        <w:t>项目旨在聚焦国家战略，打造国际一流的张江科学城，建成后将为张江科学城带来一个24小时活力四射的城市副中心，也是公司持续提升城市中心、城市副中心开发、建设和营运能力，以及不断提高社会效益、品牌效益、经济效益的积极举措。</w:t>
      </w:r>
    </w:p>
    <w:p w14:paraId="6273AC23" w14:textId="77777777" w:rsidR="00AA6188" w:rsidRDefault="00AA6188" w:rsidP="00AA6188">
      <w:pPr>
        <w:adjustRightInd w:val="0"/>
        <w:snapToGrid w:val="0"/>
        <w:spacing w:afterLines="50" w:after="156" w:line="480" w:lineRule="exact"/>
        <w:ind w:firstLineChars="200" w:firstLine="480"/>
        <w:rPr>
          <w:rFonts w:ascii="宋体" w:hAnsi="宋体"/>
          <w:sz w:val="24"/>
        </w:rPr>
      </w:pPr>
      <w:r w:rsidRPr="0055583A">
        <w:rPr>
          <w:rFonts w:ascii="宋体" w:hAnsi="宋体" w:hint="eastAsia"/>
          <w:sz w:val="24"/>
        </w:rPr>
        <w:t>本次</w:t>
      </w:r>
      <w:r>
        <w:rPr>
          <w:rFonts w:ascii="宋体" w:hAnsi="宋体" w:hint="eastAsia"/>
          <w:sz w:val="24"/>
        </w:rPr>
        <w:t>公司与关联方共同</w:t>
      </w:r>
      <w:r w:rsidRPr="0055583A">
        <w:rPr>
          <w:rFonts w:ascii="宋体" w:hAnsi="宋体" w:hint="eastAsia"/>
          <w:sz w:val="24"/>
        </w:rPr>
        <w:t>增资旨在</w:t>
      </w:r>
      <w:r>
        <w:rPr>
          <w:rFonts w:ascii="宋体" w:hAnsi="宋体" w:hint="eastAsia"/>
          <w:sz w:val="24"/>
        </w:rPr>
        <w:t>从</w:t>
      </w:r>
      <w:r w:rsidRPr="0055583A">
        <w:rPr>
          <w:rFonts w:ascii="宋体" w:hAnsi="宋体" w:hint="eastAsia"/>
          <w:sz w:val="24"/>
        </w:rPr>
        <w:t>资金层面为</w:t>
      </w:r>
      <w:r>
        <w:rPr>
          <w:rFonts w:ascii="宋体" w:hAnsi="宋体" w:hint="eastAsia"/>
          <w:sz w:val="24"/>
        </w:rPr>
        <w:t>东</w:t>
      </w:r>
      <w:proofErr w:type="gramStart"/>
      <w:r>
        <w:rPr>
          <w:rFonts w:ascii="宋体" w:hAnsi="宋体" w:hint="eastAsia"/>
          <w:sz w:val="24"/>
        </w:rPr>
        <w:t>翌</w:t>
      </w:r>
      <w:proofErr w:type="gramEnd"/>
      <w:r>
        <w:rPr>
          <w:rFonts w:ascii="宋体" w:hAnsi="宋体" w:hint="eastAsia"/>
          <w:sz w:val="24"/>
        </w:rPr>
        <w:t>置业</w:t>
      </w:r>
      <w:r w:rsidRPr="0055583A">
        <w:rPr>
          <w:rFonts w:ascii="宋体" w:hAnsi="宋体" w:hint="eastAsia"/>
          <w:sz w:val="24"/>
        </w:rPr>
        <w:t>提供支持，促进</w:t>
      </w:r>
      <w:r>
        <w:rPr>
          <w:rFonts w:ascii="宋体" w:hAnsi="宋体" w:hint="eastAsia"/>
          <w:sz w:val="24"/>
        </w:rPr>
        <w:t>东</w:t>
      </w:r>
      <w:proofErr w:type="gramStart"/>
      <w:r>
        <w:rPr>
          <w:rFonts w:ascii="宋体" w:hAnsi="宋体" w:hint="eastAsia"/>
          <w:sz w:val="24"/>
        </w:rPr>
        <w:t>翌</w:t>
      </w:r>
      <w:proofErr w:type="gramEnd"/>
      <w:r>
        <w:rPr>
          <w:rFonts w:ascii="宋体" w:hAnsi="宋体" w:hint="eastAsia"/>
          <w:sz w:val="24"/>
        </w:rPr>
        <w:t>置业经营业务</w:t>
      </w:r>
      <w:r w:rsidRPr="0055583A">
        <w:rPr>
          <w:rFonts w:ascii="宋体" w:hAnsi="宋体" w:hint="eastAsia"/>
          <w:sz w:val="24"/>
        </w:rPr>
        <w:t>的可持续发展，保证其正常推进各个项目开发。</w:t>
      </w:r>
    </w:p>
    <w:p w14:paraId="0A9FA916" w14:textId="77777777" w:rsidR="00AA6188" w:rsidRDefault="00AA6188" w:rsidP="00AA6188">
      <w:pPr>
        <w:adjustRightInd w:val="0"/>
        <w:snapToGrid w:val="0"/>
        <w:spacing w:afterLines="50" w:after="156" w:line="480" w:lineRule="exact"/>
        <w:ind w:firstLineChars="200" w:firstLine="480"/>
        <w:rPr>
          <w:rFonts w:ascii="宋体" w:hAnsi="宋体"/>
          <w:sz w:val="24"/>
        </w:rPr>
      </w:pPr>
      <w:r w:rsidRPr="0055583A">
        <w:rPr>
          <w:rFonts w:ascii="宋体" w:hAnsi="宋体" w:hint="eastAsia"/>
          <w:sz w:val="24"/>
        </w:rPr>
        <w:t>本次增资不会对公司资产及损益情况构成重大影响，不会导致公司合并报表范围发生变化，符合有关法律、法规和</w:t>
      </w:r>
      <w:r>
        <w:rPr>
          <w:rFonts w:ascii="宋体" w:hAnsi="宋体" w:hint="eastAsia"/>
          <w:sz w:val="24"/>
        </w:rPr>
        <w:t>公司章程的规定，符合证监会的监管要求，符合公司及全体股东的利益</w:t>
      </w:r>
      <w:r w:rsidRPr="00846839">
        <w:rPr>
          <w:rFonts w:ascii="宋体" w:hAnsi="宋体"/>
          <w:sz w:val="24"/>
        </w:rPr>
        <w:t>。</w:t>
      </w:r>
    </w:p>
    <w:p w14:paraId="4D26D6F5" w14:textId="77777777" w:rsidR="00C209EE" w:rsidRPr="00AA6188" w:rsidRDefault="00C209EE" w:rsidP="0090180D">
      <w:pPr>
        <w:adjustRightInd w:val="0"/>
        <w:snapToGrid w:val="0"/>
        <w:spacing w:afterLines="50" w:after="156" w:line="480" w:lineRule="exact"/>
        <w:rPr>
          <w:rFonts w:ascii="宋体" w:hAnsi="宋体"/>
          <w:b/>
          <w:sz w:val="24"/>
        </w:rPr>
      </w:pPr>
    </w:p>
    <w:p w14:paraId="7C55CBA1" w14:textId="59B9379C" w:rsidR="00C450B5" w:rsidRDefault="00CF1E25" w:rsidP="00872279">
      <w:pPr>
        <w:adjustRightInd w:val="0"/>
        <w:snapToGrid w:val="0"/>
        <w:spacing w:afterLines="50" w:after="156" w:line="480" w:lineRule="exact"/>
        <w:ind w:firstLineChars="200" w:firstLine="482"/>
        <w:rPr>
          <w:rFonts w:ascii="宋体" w:hAnsi="宋体"/>
          <w:b/>
          <w:sz w:val="24"/>
        </w:rPr>
      </w:pPr>
      <w:r>
        <w:rPr>
          <w:rFonts w:ascii="宋体" w:hAnsi="宋体" w:hint="eastAsia"/>
          <w:b/>
          <w:sz w:val="24"/>
        </w:rPr>
        <w:t>五</w:t>
      </w:r>
      <w:r w:rsidR="00ED46B5" w:rsidRPr="002B47CC">
        <w:rPr>
          <w:rFonts w:ascii="宋体" w:hAnsi="宋体" w:hint="eastAsia"/>
          <w:b/>
          <w:sz w:val="24"/>
        </w:rPr>
        <w:t>、</w:t>
      </w:r>
      <w:r w:rsidR="00C450B5" w:rsidRPr="002B47CC">
        <w:rPr>
          <w:rFonts w:ascii="宋体" w:hAnsi="宋体" w:hint="eastAsia"/>
          <w:b/>
          <w:sz w:val="24"/>
        </w:rPr>
        <w:t>本次关联交易应当履行的</w:t>
      </w:r>
      <w:r w:rsidR="00D03A28" w:rsidRPr="002B47CC">
        <w:rPr>
          <w:rFonts w:ascii="宋体" w:hAnsi="宋体" w:hint="eastAsia"/>
          <w:b/>
          <w:sz w:val="24"/>
        </w:rPr>
        <w:t>审议</w:t>
      </w:r>
      <w:r w:rsidR="00C450B5" w:rsidRPr="002B47CC">
        <w:rPr>
          <w:rFonts w:ascii="宋体" w:hAnsi="宋体" w:hint="eastAsia"/>
          <w:b/>
          <w:sz w:val="24"/>
        </w:rPr>
        <w:t>程序</w:t>
      </w:r>
    </w:p>
    <w:p w14:paraId="02298C15" w14:textId="1B01A2C3" w:rsidR="00D03A28" w:rsidRDefault="00D03A28" w:rsidP="00872279">
      <w:pPr>
        <w:adjustRightInd w:val="0"/>
        <w:snapToGrid w:val="0"/>
        <w:spacing w:afterLines="50" w:after="156" w:line="480" w:lineRule="exact"/>
        <w:ind w:firstLineChars="200" w:firstLine="480"/>
        <w:rPr>
          <w:rFonts w:ascii="宋体" w:hAnsi="宋体"/>
          <w:sz w:val="24"/>
        </w:rPr>
      </w:pPr>
      <w:r>
        <w:rPr>
          <w:rFonts w:ascii="宋体" w:hAnsi="宋体" w:hint="eastAsia"/>
          <w:sz w:val="24"/>
        </w:rPr>
        <w:t>本次关联交易经公司</w:t>
      </w:r>
      <w:r w:rsidRPr="006302E9">
        <w:rPr>
          <w:rFonts w:ascii="宋体" w:hAnsi="宋体" w:hint="eastAsia"/>
          <w:sz w:val="24"/>
        </w:rPr>
        <w:t>第八届董事会审计委员会</w:t>
      </w:r>
      <w:r w:rsidR="00EA202D" w:rsidRPr="006302E9">
        <w:rPr>
          <w:rFonts w:ascii="宋体" w:hAnsi="宋体"/>
          <w:sz w:val="24"/>
        </w:rPr>
        <w:t>20</w:t>
      </w:r>
      <w:r w:rsidR="00AA6188">
        <w:rPr>
          <w:rFonts w:ascii="宋体" w:hAnsi="宋体"/>
          <w:sz w:val="24"/>
        </w:rPr>
        <w:t>20</w:t>
      </w:r>
      <w:r w:rsidR="00EA202D" w:rsidRPr="006302E9">
        <w:rPr>
          <w:rFonts w:ascii="宋体" w:hAnsi="宋体" w:hint="eastAsia"/>
          <w:sz w:val="24"/>
        </w:rPr>
        <w:t>年第</w:t>
      </w:r>
      <w:r w:rsidR="00AA6188">
        <w:rPr>
          <w:rFonts w:ascii="宋体" w:hAnsi="宋体" w:hint="eastAsia"/>
          <w:sz w:val="24"/>
        </w:rPr>
        <w:t>一</w:t>
      </w:r>
      <w:r w:rsidR="006302E9" w:rsidRPr="006302E9">
        <w:rPr>
          <w:rFonts w:ascii="宋体" w:hAnsi="宋体" w:hint="eastAsia"/>
          <w:sz w:val="24"/>
        </w:rPr>
        <w:t>次</w:t>
      </w:r>
      <w:r w:rsidR="00AA6188">
        <w:rPr>
          <w:rFonts w:ascii="宋体" w:hAnsi="宋体" w:hint="eastAsia"/>
          <w:sz w:val="24"/>
        </w:rPr>
        <w:t>临时</w:t>
      </w:r>
      <w:r w:rsidRPr="006302E9">
        <w:rPr>
          <w:rFonts w:ascii="宋体" w:hAnsi="宋体" w:hint="eastAsia"/>
          <w:sz w:val="24"/>
        </w:rPr>
        <w:t>会议及第八届董事</w:t>
      </w:r>
      <w:r w:rsidR="00EA202D" w:rsidRPr="006302E9">
        <w:rPr>
          <w:rFonts w:ascii="宋体" w:hAnsi="宋体" w:hint="eastAsia"/>
          <w:sz w:val="24"/>
        </w:rPr>
        <w:t>会</w:t>
      </w:r>
      <w:r w:rsidR="00167722" w:rsidRPr="006302E9">
        <w:rPr>
          <w:rFonts w:ascii="宋体" w:hAnsi="宋体" w:hint="eastAsia"/>
          <w:sz w:val="24"/>
        </w:rPr>
        <w:t>第</w:t>
      </w:r>
      <w:r w:rsidR="00AA6188">
        <w:rPr>
          <w:rFonts w:ascii="宋体" w:hAnsi="宋体" w:hint="eastAsia"/>
          <w:sz w:val="24"/>
        </w:rPr>
        <w:t>九</w:t>
      </w:r>
      <w:r w:rsidR="00167722" w:rsidRPr="006302E9">
        <w:rPr>
          <w:rFonts w:ascii="宋体" w:hAnsi="宋体" w:hint="eastAsia"/>
          <w:sz w:val="24"/>
        </w:rPr>
        <w:t>次会</w:t>
      </w:r>
      <w:r w:rsidR="00167722" w:rsidRPr="00A55945">
        <w:rPr>
          <w:rFonts w:ascii="宋体" w:hAnsi="宋体" w:hint="eastAsia"/>
          <w:sz w:val="24"/>
        </w:rPr>
        <w:t>议</w:t>
      </w:r>
      <w:r>
        <w:rPr>
          <w:rFonts w:ascii="宋体" w:hAnsi="宋体" w:hint="eastAsia"/>
          <w:sz w:val="24"/>
        </w:rPr>
        <w:t>审议通过，其中董事会表决情况如下：</w:t>
      </w:r>
      <w:r w:rsidR="006302E9">
        <w:rPr>
          <w:rFonts w:ascii="宋体" w:hAnsi="宋体" w:hint="eastAsia"/>
          <w:sz w:val="24"/>
        </w:rPr>
        <w:t>4</w:t>
      </w:r>
      <w:r>
        <w:rPr>
          <w:rFonts w:ascii="宋体" w:hAnsi="宋体" w:hint="eastAsia"/>
          <w:sz w:val="24"/>
        </w:rPr>
        <w:t>名关联董事回避表决，</w:t>
      </w:r>
      <w:r w:rsidR="006302E9">
        <w:rPr>
          <w:rFonts w:ascii="宋体" w:hAnsi="宋体" w:hint="eastAsia"/>
          <w:sz w:val="24"/>
        </w:rPr>
        <w:t>5</w:t>
      </w:r>
      <w:r>
        <w:rPr>
          <w:rFonts w:ascii="宋体" w:hAnsi="宋体" w:hint="eastAsia"/>
          <w:sz w:val="24"/>
        </w:rPr>
        <w:t>名非关联董事一致同意本次关联交易，</w:t>
      </w:r>
      <w:r w:rsidR="00AA6188" w:rsidRPr="00AA6188">
        <w:rPr>
          <w:rFonts w:ascii="宋体" w:hAnsi="宋体" w:hint="eastAsia"/>
          <w:sz w:val="24"/>
        </w:rPr>
        <w:t>全体独立董事签署了《独立董事关于公司与关联方共同对上海东翌置业有限公司进行增资议案的事前认可意见书》及《独立董事关于公司与关联方共同对上海东翌置业有限公司进行增资的独立意见》，认为本次公司与关联方共同增资旨在从资金层面为上海东翌置业有限公司提供支持，促进东</w:t>
      </w:r>
      <w:proofErr w:type="gramStart"/>
      <w:r w:rsidR="00AA6188" w:rsidRPr="00AA6188">
        <w:rPr>
          <w:rFonts w:ascii="宋体" w:hAnsi="宋体" w:hint="eastAsia"/>
          <w:sz w:val="24"/>
        </w:rPr>
        <w:t>翌</w:t>
      </w:r>
      <w:proofErr w:type="gramEnd"/>
      <w:r w:rsidR="00AA6188" w:rsidRPr="00AA6188">
        <w:rPr>
          <w:rFonts w:ascii="宋体" w:hAnsi="宋体" w:hint="eastAsia"/>
          <w:sz w:val="24"/>
        </w:rPr>
        <w:t>置业经营业务的可持续发展，保证其正常推进各个项目开发，目标明确，具有可行性。且本次关联交易出资双方均按持股比例并以现金方式增资，在审议本项议案时，关联董事回避了表决，本事项符合有关法律、法规和公司章程的规定，符合证监会的监管要求，符合公司及全体股东利益。</w:t>
      </w:r>
    </w:p>
    <w:p w14:paraId="364524E3" w14:textId="35C1BC5D" w:rsidR="00A55945" w:rsidRDefault="0081699B" w:rsidP="00A55945">
      <w:pPr>
        <w:adjustRightInd w:val="0"/>
        <w:snapToGrid w:val="0"/>
        <w:spacing w:afterLines="50" w:after="156" w:line="480" w:lineRule="exact"/>
        <w:ind w:firstLineChars="200" w:firstLine="480"/>
        <w:rPr>
          <w:rFonts w:ascii="宋体" w:hAnsi="宋体"/>
          <w:sz w:val="24"/>
        </w:rPr>
      </w:pPr>
      <w:r w:rsidRPr="0020249A">
        <w:rPr>
          <w:rFonts w:ascii="宋体" w:hAnsi="宋体"/>
          <w:sz w:val="24"/>
        </w:rPr>
        <w:t>本次交易构成了上市公司与控股股东的关联交易</w:t>
      </w:r>
      <w:r w:rsidR="008A52CE">
        <w:rPr>
          <w:rFonts w:ascii="宋体" w:hAnsi="宋体" w:hint="eastAsia"/>
          <w:sz w:val="24"/>
        </w:rPr>
        <w:t>。</w:t>
      </w:r>
      <w:r>
        <w:rPr>
          <w:rFonts w:ascii="宋体" w:hAnsi="宋体" w:hint="eastAsia"/>
          <w:sz w:val="24"/>
        </w:rPr>
        <w:t>本次关联交易金额占公司最近一期经审计净资产绝对值5%以上，</w:t>
      </w:r>
      <w:r w:rsidR="00AA6188" w:rsidRPr="00590B57">
        <w:rPr>
          <w:rFonts w:ascii="宋体" w:hAnsi="宋体" w:hint="eastAsia"/>
          <w:sz w:val="24"/>
        </w:rPr>
        <w:t>但由于本次关联交易出资双方均按持股比例对标的公司以现金方式进行增资</w:t>
      </w:r>
      <w:r w:rsidRPr="00F73FCA">
        <w:rPr>
          <w:rFonts w:ascii="宋体" w:hAnsi="宋体"/>
          <w:sz w:val="24"/>
        </w:rPr>
        <w:t>，根据《</w:t>
      </w:r>
      <w:r>
        <w:rPr>
          <w:rFonts w:ascii="宋体" w:hAnsi="宋体" w:hint="eastAsia"/>
          <w:sz w:val="24"/>
        </w:rPr>
        <w:t>上海证券交易所</w:t>
      </w:r>
      <w:r w:rsidRPr="00F73FCA">
        <w:rPr>
          <w:rFonts w:ascii="宋体" w:hAnsi="宋体"/>
          <w:sz w:val="24"/>
        </w:rPr>
        <w:t>股票上市规则》</w:t>
      </w:r>
      <w:r>
        <w:rPr>
          <w:rFonts w:ascii="宋体" w:hAnsi="宋体" w:hint="eastAsia"/>
          <w:sz w:val="24"/>
        </w:rPr>
        <w:t>第1</w:t>
      </w:r>
      <w:r>
        <w:rPr>
          <w:rFonts w:ascii="宋体" w:hAnsi="宋体"/>
          <w:sz w:val="24"/>
        </w:rPr>
        <w:t>0.2.7</w:t>
      </w:r>
      <w:r>
        <w:rPr>
          <w:rFonts w:ascii="宋体" w:hAnsi="宋体" w:hint="eastAsia"/>
          <w:sz w:val="24"/>
        </w:rPr>
        <w:t>条</w:t>
      </w:r>
      <w:r w:rsidRPr="00F73FCA">
        <w:rPr>
          <w:rFonts w:ascii="宋体" w:hAnsi="宋体"/>
          <w:sz w:val="24"/>
        </w:rPr>
        <w:t>的规定，本次关联交易</w:t>
      </w:r>
      <w:r>
        <w:rPr>
          <w:rFonts w:ascii="宋体" w:hAnsi="宋体" w:hint="eastAsia"/>
          <w:sz w:val="24"/>
        </w:rPr>
        <w:t>可申请</w:t>
      </w:r>
      <w:r w:rsidRPr="00F73FCA">
        <w:rPr>
          <w:rFonts w:ascii="宋体" w:hAnsi="宋体"/>
          <w:sz w:val="24"/>
        </w:rPr>
        <w:t>豁免提交公司股东大会审议。</w:t>
      </w:r>
      <w:r>
        <w:rPr>
          <w:rFonts w:ascii="宋体" w:hAnsi="宋体" w:hint="eastAsia"/>
          <w:sz w:val="24"/>
        </w:rPr>
        <w:t>截至本公告披露之日，公司已按照有关规定完成相关豁免程序。</w:t>
      </w:r>
    </w:p>
    <w:p w14:paraId="7B568544" w14:textId="67863EDC" w:rsidR="00D03A28" w:rsidRDefault="00347B2A" w:rsidP="00A55945">
      <w:pPr>
        <w:adjustRightInd w:val="0"/>
        <w:snapToGrid w:val="0"/>
        <w:spacing w:afterLines="50" w:after="156" w:line="480" w:lineRule="exact"/>
        <w:ind w:firstLineChars="200" w:firstLine="480"/>
        <w:rPr>
          <w:rFonts w:ascii="宋体" w:hAnsi="宋体"/>
          <w:sz w:val="24"/>
        </w:rPr>
      </w:pPr>
      <w:r>
        <w:rPr>
          <w:rFonts w:ascii="宋体" w:hAnsi="宋体" w:hint="eastAsia"/>
          <w:sz w:val="24"/>
        </w:rPr>
        <w:t>本次关联交易不构成《上市公司重大资产重组管理办法》规定的重大资产重组。</w:t>
      </w:r>
    </w:p>
    <w:p w14:paraId="242679EF" w14:textId="77777777" w:rsidR="00A55945" w:rsidRPr="00A55945" w:rsidRDefault="00A55945" w:rsidP="00A55945">
      <w:pPr>
        <w:adjustRightInd w:val="0"/>
        <w:snapToGrid w:val="0"/>
        <w:spacing w:afterLines="50" w:after="156" w:line="480" w:lineRule="exact"/>
        <w:ind w:firstLineChars="200" w:firstLine="480"/>
        <w:rPr>
          <w:rFonts w:ascii="宋体" w:hAnsi="宋体"/>
          <w:sz w:val="24"/>
        </w:rPr>
      </w:pPr>
    </w:p>
    <w:p w14:paraId="2F94AF3B" w14:textId="7473CB15" w:rsidR="00ED46B5" w:rsidRPr="00F14C2F" w:rsidRDefault="00CF1E25" w:rsidP="00872279">
      <w:pPr>
        <w:adjustRightInd w:val="0"/>
        <w:snapToGrid w:val="0"/>
        <w:spacing w:afterLines="50" w:after="156" w:line="480" w:lineRule="exact"/>
        <w:ind w:firstLineChars="200" w:firstLine="482"/>
        <w:rPr>
          <w:rFonts w:ascii="宋体" w:hAnsi="宋体"/>
          <w:b/>
          <w:sz w:val="24"/>
        </w:rPr>
      </w:pPr>
      <w:r>
        <w:rPr>
          <w:rFonts w:ascii="宋体" w:hAnsi="宋体" w:hint="eastAsia"/>
          <w:b/>
          <w:sz w:val="24"/>
        </w:rPr>
        <w:t>六</w:t>
      </w:r>
      <w:r w:rsidR="00D03A28">
        <w:rPr>
          <w:rFonts w:ascii="宋体" w:hAnsi="宋体" w:hint="eastAsia"/>
          <w:b/>
          <w:sz w:val="24"/>
        </w:rPr>
        <w:t>、</w:t>
      </w:r>
      <w:r w:rsidR="00347B2A">
        <w:rPr>
          <w:rFonts w:ascii="宋体" w:hAnsi="宋体" w:hint="eastAsia"/>
          <w:b/>
          <w:sz w:val="24"/>
        </w:rPr>
        <w:t>历史</w:t>
      </w:r>
      <w:r w:rsidR="00347B2A" w:rsidRPr="00B4026B">
        <w:rPr>
          <w:rFonts w:ascii="宋体" w:hAnsi="宋体" w:hint="eastAsia"/>
          <w:b/>
          <w:sz w:val="24"/>
        </w:rPr>
        <w:t>关联交易</w:t>
      </w:r>
      <w:r w:rsidR="00347B2A">
        <w:rPr>
          <w:rFonts w:ascii="宋体" w:hAnsi="宋体" w:hint="eastAsia"/>
          <w:b/>
          <w:sz w:val="24"/>
        </w:rPr>
        <w:t>情况</w:t>
      </w:r>
    </w:p>
    <w:p w14:paraId="4F34AEB4" w14:textId="0A90C1B5" w:rsidR="00AA6188" w:rsidRPr="00AA6188" w:rsidRDefault="00AA6188" w:rsidP="00AA6188">
      <w:pPr>
        <w:widowControl/>
        <w:shd w:val="clear" w:color="auto" w:fill="FFFFFF"/>
        <w:spacing w:line="480" w:lineRule="atLeast"/>
        <w:ind w:firstLine="480"/>
        <w:rPr>
          <w:rFonts w:ascii="宋体" w:hAnsi="宋体"/>
          <w:color w:val="000000"/>
          <w:kern w:val="0"/>
          <w:sz w:val="24"/>
        </w:rPr>
      </w:pPr>
      <w:r w:rsidRPr="00AA6188">
        <w:rPr>
          <w:rFonts w:ascii="宋体" w:hAnsi="宋体" w:hint="eastAsia"/>
          <w:color w:val="000000"/>
          <w:kern w:val="0"/>
          <w:sz w:val="24"/>
        </w:rPr>
        <w:t>1、经公司第七届董事会2014年第二次临时会议审议，同意公司的全资子公司上海智依投资有限公司以认购上海陆家</w:t>
      </w:r>
      <w:proofErr w:type="gramStart"/>
      <w:r w:rsidRPr="00AA6188">
        <w:rPr>
          <w:rFonts w:ascii="宋体" w:hAnsi="宋体" w:hint="eastAsia"/>
          <w:color w:val="000000"/>
          <w:kern w:val="0"/>
          <w:sz w:val="24"/>
        </w:rPr>
        <w:t>嘴新辰投资</w:t>
      </w:r>
      <w:proofErr w:type="gramEnd"/>
      <w:r w:rsidRPr="00AA6188">
        <w:rPr>
          <w:rFonts w:ascii="宋体" w:hAnsi="宋体" w:hint="eastAsia"/>
          <w:color w:val="000000"/>
          <w:kern w:val="0"/>
          <w:sz w:val="24"/>
        </w:rPr>
        <w:t>股份有限公司新增注册资本的方式，增资入股该公司，出资金额为人民币2.4亿元，股权比例为20%，并同比例配置股东贷款。经公司第七届董事会第七次会议审议，同意上海陆家</w:t>
      </w:r>
      <w:proofErr w:type="gramStart"/>
      <w:r w:rsidRPr="00AA6188">
        <w:rPr>
          <w:rFonts w:ascii="宋体" w:hAnsi="宋体" w:hint="eastAsia"/>
          <w:color w:val="000000"/>
          <w:kern w:val="0"/>
          <w:sz w:val="24"/>
        </w:rPr>
        <w:t>嘴新辰投资</w:t>
      </w:r>
      <w:proofErr w:type="gramEnd"/>
      <w:r w:rsidRPr="00AA6188">
        <w:rPr>
          <w:rFonts w:ascii="宋体" w:hAnsi="宋体" w:hint="eastAsia"/>
          <w:color w:val="000000"/>
          <w:kern w:val="0"/>
          <w:sz w:val="24"/>
        </w:rPr>
        <w:t>股份有限公司先行偿还公司人民币1.04亿元委托贷款。同时，公司在同等额度和条件下，向上海陆家</w:t>
      </w:r>
      <w:proofErr w:type="gramStart"/>
      <w:r w:rsidRPr="00AA6188">
        <w:rPr>
          <w:rFonts w:ascii="宋体" w:hAnsi="宋体" w:hint="eastAsia"/>
          <w:color w:val="000000"/>
          <w:kern w:val="0"/>
          <w:sz w:val="24"/>
        </w:rPr>
        <w:t>嘴新辰投资</w:t>
      </w:r>
      <w:proofErr w:type="gramEnd"/>
      <w:r w:rsidRPr="00AA6188">
        <w:rPr>
          <w:rFonts w:ascii="宋体" w:hAnsi="宋体" w:hint="eastAsia"/>
          <w:color w:val="000000"/>
          <w:kern w:val="0"/>
          <w:sz w:val="24"/>
        </w:rPr>
        <w:t>股份有限公司的全资子公司上海陆家</w:t>
      </w:r>
      <w:proofErr w:type="gramStart"/>
      <w:r w:rsidRPr="00AA6188">
        <w:rPr>
          <w:rFonts w:ascii="宋体" w:hAnsi="宋体" w:hint="eastAsia"/>
          <w:color w:val="000000"/>
          <w:kern w:val="0"/>
          <w:sz w:val="24"/>
        </w:rPr>
        <w:t>嘴新辰临壹投资</w:t>
      </w:r>
      <w:proofErr w:type="gramEnd"/>
      <w:r w:rsidRPr="00AA6188">
        <w:rPr>
          <w:rFonts w:ascii="宋体" w:hAnsi="宋体" w:hint="eastAsia"/>
          <w:color w:val="000000"/>
          <w:kern w:val="0"/>
          <w:sz w:val="24"/>
        </w:rPr>
        <w:t>有限公司提供人民币1.04亿元委托贷款。经公司第八届董事会第七次会议审议，同意公司向上海陆家</w:t>
      </w:r>
      <w:proofErr w:type="gramStart"/>
      <w:r w:rsidRPr="00AA6188">
        <w:rPr>
          <w:rFonts w:ascii="宋体" w:hAnsi="宋体" w:hint="eastAsia"/>
          <w:color w:val="000000"/>
          <w:kern w:val="0"/>
          <w:sz w:val="24"/>
        </w:rPr>
        <w:t>嘴新辰投资</w:t>
      </w:r>
      <w:proofErr w:type="gramEnd"/>
      <w:r w:rsidRPr="00AA6188">
        <w:rPr>
          <w:rFonts w:ascii="宋体" w:hAnsi="宋体" w:hint="eastAsia"/>
          <w:color w:val="000000"/>
          <w:kern w:val="0"/>
          <w:sz w:val="24"/>
        </w:rPr>
        <w:t>股份有限公司提供委托贷款余额展期，展期金额为人民币0.96亿元，展期期限不超过2.5年，贷款利率为银行同期贷款基准利率上浮10%。新</w:t>
      </w:r>
      <w:proofErr w:type="gramStart"/>
      <w:r w:rsidRPr="00AA6188">
        <w:rPr>
          <w:rFonts w:ascii="宋体" w:hAnsi="宋体" w:hint="eastAsia"/>
          <w:color w:val="000000"/>
          <w:kern w:val="0"/>
          <w:sz w:val="24"/>
        </w:rPr>
        <w:t>辰投资</w:t>
      </w:r>
      <w:proofErr w:type="gramEnd"/>
      <w:r w:rsidRPr="00AA6188">
        <w:rPr>
          <w:rFonts w:ascii="宋体" w:hAnsi="宋体" w:hint="eastAsia"/>
          <w:color w:val="000000"/>
          <w:kern w:val="0"/>
          <w:sz w:val="24"/>
        </w:rPr>
        <w:t>的其他各方股东按同比例对新</w:t>
      </w:r>
      <w:proofErr w:type="gramStart"/>
      <w:r w:rsidRPr="00AA6188">
        <w:rPr>
          <w:rFonts w:ascii="宋体" w:hAnsi="宋体" w:hint="eastAsia"/>
          <w:color w:val="000000"/>
          <w:kern w:val="0"/>
          <w:sz w:val="24"/>
        </w:rPr>
        <w:t>辰投资</w:t>
      </w:r>
      <w:proofErr w:type="gramEnd"/>
      <w:r w:rsidRPr="00AA6188">
        <w:rPr>
          <w:rFonts w:ascii="宋体" w:hAnsi="宋体" w:hint="eastAsia"/>
          <w:color w:val="000000"/>
          <w:kern w:val="0"/>
          <w:sz w:val="24"/>
        </w:rPr>
        <w:t>委托贷款余额进行展期。</w:t>
      </w:r>
      <w:r w:rsidR="0015361B">
        <w:rPr>
          <w:rFonts w:ascii="宋体" w:hAnsi="宋体" w:hint="eastAsia"/>
          <w:color w:val="000000"/>
          <w:kern w:val="0"/>
          <w:sz w:val="24"/>
        </w:rPr>
        <w:t>2</w:t>
      </w:r>
      <w:r w:rsidR="0015361B">
        <w:rPr>
          <w:rFonts w:ascii="宋体" w:hAnsi="宋体"/>
          <w:color w:val="000000"/>
          <w:kern w:val="0"/>
          <w:sz w:val="24"/>
        </w:rPr>
        <w:t>019</w:t>
      </w:r>
      <w:r w:rsidR="0015361B">
        <w:rPr>
          <w:rFonts w:ascii="宋体" w:hAnsi="宋体" w:hint="eastAsia"/>
          <w:color w:val="000000"/>
          <w:kern w:val="0"/>
          <w:sz w:val="24"/>
        </w:rPr>
        <w:t>年末，</w:t>
      </w:r>
      <w:r w:rsidR="0015361B" w:rsidRPr="002F32A2">
        <w:rPr>
          <w:rFonts w:ascii="宋体" w:hAnsi="宋体"/>
          <w:color w:val="000000"/>
          <w:kern w:val="0"/>
          <w:sz w:val="24"/>
        </w:rPr>
        <w:t>上海陆家</w:t>
      </w:r>
      <w:proofErr w:type="gramStart"/>
      <w:r w:rsidR="0015361B" w:rsidRPr="002F32A2">
        <w:rPr>
          <w:rFonts w:ascii="宋体" w:hAnsi="宋体"/>
          <w:color w:val="000000"/>
          <w:kern w:val="0"/>
          <w:sz w:val="24"/>
        </w:rPr>
        <w:t>嘴新辰临壹投资</w:t>
      </w:r>
      <w:proofErr w:type="gramEnd"/>
      <w:r w:rsidR="0015361B" w:rsidRPr="002F32A2">
        <w:rPr>
          <w:rFonts w:ascii="宋体" w:hAnsi="宋体"/>
          <w:color w:val="000000"/>
          <w:kern w:val="0"/>
          <w:sz w:val="24"/>
        </w:rPr>
        <w:t>有限公司已将到期委托贷款人民币1.04亿元全部偿还</w:t>
      </w:r>
      <w:r w:rsidR="0015361B" w:rsidRPr="002F32A2">
        <w:rPr>
          <w:rFonts w:ascii="宋体" w:hAnsi="宋体" w:hint="eastAsia"/>
          <w:color w:val="000000"/>
          <w:kern w:val="0"/>
          <w:sz w:val="24"/>
        </w:rPr>
        <w:t>。</w:t>
      </w:r>
    </w:p>
    <w:p w14:paraId="331EFF7D" w14:textId="0BCFCDB9" w:rsidR="00AA6188" w:rsidRPr="00AA6188" w:rsidRDefault="00BE7F7A" w:rsidP="00AA6188">
      <w:pPr>
        <w:widowControl/>
        <w:shd w:val="clear" w:color="auto" w:fill="FFFFFF"/>
        <w:spacing w:line="480" w:lineRule="atLeast"/>
        <w:ind w:firstLine="480"/>
        <w:rPr>
          <w:rFonts w:ascii="宋体" w:hAnsi="宋体"/>
          <w:color w:val="000000"/>
          <w:kern w:val="0"/>
          <w:sz w:val="24"/>
        </w:rPr>
      </w:pPr>
      <w:r w:rsidRPr="002F32A2">
        <w:rPr>
          <w:rFonts w:ascii="宋体" w:hAnsi="宋体"/>
          <w:color w:val="000000"/>
          <w:kern w:val="0"/>
          <w:sz w:val="24"/>
        </w:rPr>
        <w:t>截至</w:t>
      </w:r>
      <w:r w:rsidR="0015361B" w:rsidRPr="002F32A2">
        <w:rPr>
          <w:rFonts w:ascii="宋体" w:hAnsi="宋体" w:hint="eastAsia"/>
          <w:color w:val="000000"/>
          <w:kern w:val="0"/>
          <w:sz w:val="24"/>
        </w:rPr>
        <w:t>2</w:t>
      </w:r>
      <w:r w:rsidR="0015361B" w:rsidRPr="002F32A2">
        <w:rPr>
          <w:rFonts w:ascii="宋体" w:hAnsi="宋体"/>
          <w:color w:val="000000"/>
          <w:kern w:val="0"/>
          <w:sz w:val="24"/>
        </w:rPr>
        <w:t>020</w:t>
      </w:r>
      <w:r w:rsidR="0015361B" w:rsidRPr="002F32A2">
        <w:rPr>
          <w:rFonts w:ascii="宋体" w:hAnsi="宋体" w:hint="eastAsia"/>
          <w:color w:val="000000"/>
          <w:kern w:val="0"/>
          <w:sz w:val="24"/>
        </w:rPr>
        <w:t>年</w:t>
      </w:r>
      <w:r w:rsidR="0015361B" w:rsidRPr="002F32A2">
        <w:rPr>
          <w:rFonts w:ascii="宋体" w:hAnsi="宋体"/>
          <w:color w:val="000000"/>
          <w:kern w:val="0"/>
          <w:sz w:val="24"/>
        </w:rPr>
        <w:t>3</w:t>
      </w:r>
      <w:r w:rsidR="0015361B" w:rsidRPr="002F32A2">
        <w:rPr>
          <w:rFonts w:ascii="宋体" w:hAnsi="宋体" w:hint="eastAsia"/>
          <w:color w:val="000000"/>
          <w:kern w:val="0"/>
          <w:sz w:val="24"/>
        </w:rPr>
        <w:t>月31日</w:t>
      </w:r>
      <w:r w:rsidRPr="002F32A2">
        <w:rPr>
          <w:rFonts w:ascii="宋体" w:hAnsi="宋体"/>
          <w:color w:val="000000"/>
          <w:kern w:val="0"/>
          <w:sz w:val="24"/>
        </w:rPr>
        <w:t>，上海陆家</w:t>
      </w:r>
      <w:proofErr w:type="gramStart"/>
      <w:r w:rsidRPr="002F32A2">
        <w:rPr>
          <w:rFonts w:ascii="宋体" w:hAnsi="宋体"/>
          <w:color w:val="000000"/>
          <w:kern w:val="0"/>
          <w:sz w:val="24"/>
        </w:rPr>
        <w:t>嘴新辰投资</w:t>
      </w:r>
      <w:proofErr w:type="gramEnd"/>
      <w:r w:rsidRPr="002F32A2">
        <w:rPr>
          <w:rFonts w:ascii="宋体" w:hAnsi="宋体"/>
          <w:color w:val="000000"/>
          <w:kern w:val="0"/>
          <w:sz w:val="24"/>
        </w:rPr>
        <w:t>股份有限公司获得本公司委托贷款余额为人民币0.96亿元。</w:t>
      </w:r>
      <w:r w:rsidR="00AA6188" w:rsidRPr="002F32A2">
        <w:rPr>
          <w:rFonts w:ascii="宋体" w:hAnsi="宋体" w:hint="eastAsia"/>
          <w:color w:val="000000"/>
          <w:kern w:val="0"/>
          <w:sz w:val="24"/>
        </w:rPr>
        <w:t>20</w:t>
      </w:r>
      <w:r w:rsidRPr="002F32A2">
        <w:rPr>
          <w:rFonts w:ascii="宋体" w:hAnsi="宋体"/>
          <w:color w:val="000000"/>
          <w:kern w:val="0"/>
          <w:sz w:val="24"/>
        </w:rPr>
        <w:t>20</w:t>
      </w:r>
      <w:r w:rsidR="00AA6188" w:rsidRPr="002F32A2">
        <w:rPr>
          <w:rFonts w:ascii="宋体" w:hAnsi="宋体" w:hint="eastAsia"/>
          <w:color w:val="000000"/>
          <w:kern w:val="0"/>
          <w:sz w:val="24"/>
        </w:rPr>
        <w:t>年1-</w:t>
      </w:r>
      <w:r w:rsidRPr="002F32A2">
        <w:rPr>
          <w:rFonts w:ascii="宋体" w:hAnsi="宋体"/>
          <w:color w:val="000000"/>
          <w:kern w:val="0"/>
          <w:sz w:val="24"/>
        </w:rPr>
        <w:t>3</w:t>
      </w:r>
      <w:r w:rsidR="00AA6188" w:rsidRPr="002F32A2">
        <w:rPr>
          <w:rFonts w:ascii="宋体" w:hAnsi="宋体" w:hint="eastAsia"/>
          <w:color w:val="000000"/>
          <w:kern w:val="0"/>
          <w:sz w:val="24"/>
        </w:rPr>
        <w:t>月，公司收到</w:t>
      </w:r>
      <w:r w:rsidRPr="002F32A2">
        <w:rPr>
          <w:rFonts w:ascii="宋体" w:hAnsi="宋体"/>
          <w:color w:val="000000"/>
          <w:kern w:val="0"/>
          <w:sz w:val="24"/>
        </w:rPr>
        <w:t>上海陆家</w:t>
      </w:r>
      <w:proofErr w:type="gramStart"/>
      <w:r w:rsidRPr="002F32A2">
        <w:rPr>
          <w:rFonts w:ascii="宋体" w:hAnsi="宋体"/>
          <w:color w:val="000000"/>
          <w:kern w:val="0"/>
          <w:sz w:val="24"/>
        </w:rPr>
        <w:t>嘴新辰投资</w:t>
      </w:r>
      <w:proofErr w:type="gramEnd"/>
      <w:r w:rsidRPr="002F32A2">
        <w:rPr>
          <w:rFonts w:ascii="宋体" w:hAnsi="宋体"/>
          <w:color w:val="000000"/>
          <w:kern w:val="0"/>
          <w:sz w:val="24"/>
        </w:rPr>
        <w:t>股份有限公司</w:t>
      </w:r>
      <w:r w:rsidR="00AA6188" w:rsidRPr="002F32A2">
        <w:rPr>
          <w:rFonts w:ascii="宋体" w:hAnsi="宋体" w:hint="eastAsia"/>
          <w:color w:val="000000"/>
          <w:kern w:val="0"/>
          <w:sz w:val="24"/>
        </w:rPr>
        <w:t>支付的利息人民币</w:t>
      </w:r>
      <w:r w:rsidR="002F32A2" w:rsidRPr="002F32A2">
        <w:rPr>
          <w:rFonts w:ascii="宋体" w:hAnsi="宋体" w:hint="eastAsia"/>
          <w:color w:val="000000"/>
          <w:kern w:val="0"/>
          <w:sz w:val="24"/>
        </w:rPr>
        <w:t>105.16</w:t>
      </w:r>
      <w:r w:rsidR="00AA6188" w:rsidRPr="002F32A2">
        <w:rPr>
          <w:rFonts w:ascii="宋体" w:hAnsi="宋体" w:hint="eastAsia"/>
          <w:color w:val="000000"/>
          <w:kern w:val="0"/>
          <w:sz w:val="24"/>
        </w:rPr>
        <w:t>万元，贷款利率分别5.225%。（详见公告临2014-026、临2015-027、临2019-046）</w:t>
      </w:r>
    </w:p>
    <w:p w14:paraId="473C3EEB" w14:textId="13D3CA3F" w:rsidR="00AA6188" w:rsidRPr="00AA6188" w:rsidRDefault="00AA6188" w:rsidP="00AA6188">
      <w:pPr>
        <w:widowControl/>
        <w:shd w:val="clear" w:color="auto" w:fill="FFFFFF"/>
        <w:spacing w:line="480" w:lineRule="atLeast"/>
        <w:ind w:firstLine="480"/>
        <w:rPr>
          <w:rFonts w:ascii="宋体" w:hAnsi="宋体"/>
          <w:color w:val="000000"/>
          <w:kern w:val="0"/>
          <w:sz w:val="24"/>
        </w:rPr>
      </w:pPr>
      <w:r w:rsidRPr="00AA6188">
        <w:rPr>
          <w:rFonts w:ascii="宋体" w:hAnsi="宋体" w:hint="eastAsia"/>
          <w:color w:val="000000"/>
          <w:kern w:val="0"/>
          <w:sz w:val="24"/>
        </w:rPr>
        <w:t>2、经公司第八届董事会第四次会议以及2018年年度股东大会</w:t>
      </w:r>
      <w:r w:rsidR="00C22BAD">
        <w:rPr>
          <w:rFonts w:ascii="宋体" w:hAnsi="宋体" w:hint="eastAsia"/>
          <w:color w:val="000000"/>
          <w:kern w:val="0"/>
          <w:sz w:val="24"/>
        </w:rPr>
        <w:t>、</w:t>
      </w:r>
      <w:r w:rsidR="00C22BAD" w:rsidRPr="00AA6188">
        <w:rPr>
          <w:rFonts w:ascii="宋体" w:hAnsi="宋体" w:hint="eastAsia"/>
          <w:color w:val="000000"/>
          <w:kern w:val="0"/>
          <w:sz w:val="24"/>
        </w:rPr>
        <w:t>第八届董事会第</w:t>
      </w:r>
      <w:r w:rsidR="00C22BAD">
        <w:rPr>
          <w:rFonts w:ascii="宋体" w:hAnsi="宋体" w:hint="eastAsia"/>
          <w:color w:val="000000"/>
          <w:kern w:val="0"/>
          <w:sz w:val="24"/>
        </w:rPr>
        <w:t>八</w:t>
      </w:r>
      <w:r w:rsidR="00C22BAD" w:rsidRPr="00AA6188">
        <w:rPr>
          <w:rFonts w:ascii="宋体" w:hAnsi="宋体" w:hint="eastAsia"/>
          <w:color w:val="000000"/>
          <w:kern w:val="0"/>
          <w:sz w:val="24"/>
        </w:rPr>
        <w:t>次会议以及201</w:t>
      </w:r>
      <w:r w:rsidR="00C22BAD">
        <w:rPr>
          <w:rFonts w:ascii="宋体" w:hAnsi="宋体"/>
          <w:color w:val="000000"/>
          <w:kern w:val="0"/>
          <w:sz w:val="24"/>
        </w:rPr>
        <w:t>9</w:t>
      </w:r>
      <w:r w:rsidR="00C22BAD" w:rsidRPr="00AA6188">
        <w:rPr>
          <w:rFonts w:ascii="宋体" w:hAnsi="宋体" w:hint="eastAsia"/>
          <w:color w:val="000000"/>
          <w:kern w:val="0"/>
          <w:sz w:val="24"/>
        </w:rPr>
        <w:t>年年度股东大会</w:t>
      </w:r>
      <w:r w:rsidRPr="00AA6188">
        <w:rPr>
          <w:rFonts w:ascii="宋体" w:hAnsi="宋体" w:hint="eastAsia"/>
          <w:color w:val="000000"/>
          <w:kern w:val="0"/>
          <w:sz w:val="24"/>
        </w:rPr>
        <w:t>审议通过，公司及其全资和控股子公司计划2018年年度股东大会表决通过之日起至2019年年度股东大会召开前日</w:t>
      </w:r>
      <w:r w:rsidR="00C22BAD">
        <w:rPr>
          <w:rFonts w:ascii="宋体" w:hAnsi="宋体" w:hint="eastAsia"/>
          <w:color w:val="000000"/>
          <w:kern w:val="0"/>
          <w:sz w:val="24"/>
        </w:rPr>
        <w:t>、</w:t>
      </w:r>
      <w:r w:rsidR="00C22BAD" w:rsidRPr="00AA6188">
        <w:rPr>
          <w:rFonts w:ascii="宋体" w:hAnsi="宋体" w:hint="eastAsia"/>
          <w:color w:val="000000"/>
          <w:kern w:val="0"/>
          <w:sz w:val="24"/>
        </w:rPr>
        <w:t>201</w:t>
      </w:r>
      <w:r w:rsidR="00C22BAD">
        <w:rPr>
          <w:rFonts w:ascii="宋体" w:hAnsi="宋体"/>
          <w:color w:val="000000"/>
          <w:kern w:val="0"/>
          <w:sz w:val="24"/>
        </w:rPr>
        <w:t>9</w:t>
      </w:r>
      <w:r w:rsidR="00C22BAD" w:rsidRPr="00AA6188">
        <w:rPr>
          <w:rFonts w:ascii="宋体" w:hAnsi="宋体" w:hint="eastAsia"/>
          <w:color w:val="000000"/>
          <w:kern w:val="0"/>
          <w:sz w:val="24"/>
        </w:rPr>
        <w:t>年年度股东大会表决通过之日起至20</w:t>
      </w:r>
      <w:r w:rsidR="00C22BAD">
        <w:rPr>
          <w:rFonts w:ascii="宋体" w:hAnsi="宋体"/>
          <w:color w:val="000000"/>
          <w:kern w:val="0"/>
          <w:sz w:val="24"/>
        </w:rPr>
        <w:t>20</w:t>
      </w:r>
      <w:r w:rsidR="00C22BAD" w:rsidRPr="00AA6188">
        <w:rPr>
          <w:rFonts w:ascii="宋体" w:hAnsi="宋体" w:hint="eastAsia"/>
          <w:color w:val="000000"/>
          <w:kern w:val="0"/>
          <w:sz w:val="24"/>
        </w:rPr>
        <w:t>年年度股东大会召开前日</w:t>
      </w:r>
      <w:r w:rsidR="00C22BAD">
        <w:rPr>
          <w:rFonts w:ascii="宋体" w:hAnsi="宋体" w:hint="eastAsia"/>
          <w:color w:val="000000"/>
          <w:kern w:val="0"/>
          <w:sz w:val="24"/>
        </w:rPr>
        <w:t>，</w:t>
      </w:r>
      <w:r w:rsidRPr="00AA6188">
        <w:rPr>
          <w:rFonts w:ascii="宋体" w:hAnsi="宋体" w:hint="eastAsia"/>
          <w:color w:val="000000"/>
          <w:kern w:val="0"/>
          <w:sz w:val="24"/>
        </w:rPr>
        <w:t>接受控股股东上海陆家嘴（集团）有限公司贷款余额不超过人民币120亿元，并在该额度内可以循环使用。</w:t>
      </w:r>
      <w:r w:rsidRPr="002F32A2">
        <w:rPr>
          <w:rFonts w:ascii="宋体" w:hAnsi="宋体" w:hint="eastAsia"/>
          <w:color w:val="000000"/>
          <w:kern w:val="0"/>
          <w:sz w:val="24"/>
        </w:rPr>
        <w:t>截至2</w:t>
      </w:r>
      <w:r w:rsidR="00BE7F7A" w:rsidRPr="002F32A2">
        <w:rPr>
          <w:rFonts w:ascii="宋体" w:hAnsi="宋体"/>
          <w:color w:val="000000"/>
          <w:kern w:val="0"/>
          <w:sz w:val="24"/>
        </w:rPr>
        <w:t>020</w:t>
      </w:r>
      <w:r w:rsidRPr="002F32A2">
        <w:rPr>
          <w:rFonts w:ascii="宋体" w:hAnsi="宋体" w:hint="eastAsia"/>
          <w:color w:val="000000"/>
          <w:kern w:val="0"/>
          <w:sz w:val="24"/>
        </w:rPr>
        <w:t>年</w:t>
      </w:r>
      <w:r w:rsidR="00BE7F7A" w:rsidRPr="002F32A2">
        <w:rPr>
          <w:rFonts w:ascii="宋体" w:hAnsi="宋体"/>
          <w:color w:val="000000"/>
          <w:kern w:val="0"/>
          <w:sz w:val="24"/>
        </w:rPr>
        <w:t>3</w:t>
      </w:r>
      <w:r w:rsidRPr="002F32A2">
        <w:rPr>
          <w:rFonts w:ascii="宋体" w:hAnsi="宋体" w:hint="eastAsia"/>
          <w:color w:val="000000"/>
          <w:kern w:val="0"/>
          <w:sz w:val="24"/>
        </w:rPr>
        <w:t>月31日，公司及其全资和控股子公司接受控股股东贷款余额人民币</w:t>
      </w:r>
      <w:r w:rsidR="002F32A2" w:rsidRPr="002F32A2">
        <w:rPr>
          <w:rFonts w:ascii="宋体" w:hAnsi="宋体" w:hint="eastAsia"/>
          <w:color w:val="000000"/>
          <w:kern w:val="0"/>
          <w:sz w:val="24"/>
        </w:rPr>
        <w:t>45.9</w:t>
      </w:r>
      <w:r w:rsidRPr="002F32A2">
        <w:rPr>
          <w:rFonts w:ascii="宋体" w:hAnsi="宋体" w:hint="eastAsia"/>
          <w:color w:val="000000"/>
          <w:kern w:val="0"/>
          <w:sz w:val="24"/>
        </w:rPr>
        <w:t>亿元，贷款利率</w:t>
      </w:r>
      <w:r w:rsidR="002F32A2" w:rsidRPr="002F32A2">
        <w:rPr>
          <w:rFonts w:ascii="宋体" w:hAnsi="宋体" w:hint="eastAsia"/>
          <w:color w:val="000000"/>
          <w:kern w:val="0"/>
          <w:sz w:val="24"/>
        </w:rPr>
        <w:t>3.9150%-4.75%</w:t>
      </w:r>
      <w:r w:rsidRPr="002F32A2">
        <w:rPr>
          <w:rFonts w:ascii="宋体" w:hAnsi="宋体" w:hint="eastAsia"/>
          <w:color w:val="000000"/>
          <w:kern w:val="0"/>
          <w:sz w:val="24"/>
        </w:rPr>
        <w:t>。</w:t>
      </w:r>
      <w:r w:rsidR="0015361B" w:rsidRPr="002F32A2">
        <w:rPr>
          <w:rFonts w:ascii="宋体" w:hAnsi="宋体" w:hint="eastAsia"/>
          <w:color w:val="000000"/>
          <w:kern w:val="0"/>
          <w:sz w:val="24"/>
        </w:rPr>
        <w:t>2</w:t>
      </w:r>
      <w:r w:rsidR="0015361B" w:rsidRPr="002F32A2">
        <w:rPr>
          <w:rFonts w:ascii="宋体" w:hAnsi="宋体"/>
          <w:color w:val="000000"/>
          <w:kern w:val="0"/>
          <w:sz w:val="24"/>
        </w:rPr>
        <w:t>020</w:t>
      </w:r>
      <w:r w:rsidR="0015361B" w:rsidRPr="002F32A2">
        <w:rPr>
          <w:rFonts w:ascii="宋体" w:hAnsi="宋体" w:hint="eastAsia"/>
          <w:color w:val="000000"/>
          <w:kern w:val="0"/>
          <w:sz w:val="24"/>
        </w:rPr>
        <w:t>年</w:t>
      </w:r>
      <w:r w:rsidRPr="002F32A2">
        <w:rPr>
          <w:rFonts w:ascii="宋体" w:hAnsi="宋体" w:hint="eastAsia"/>
          <w:color w:val="000000"/>
          <w:kern w:val="0"/>
          <w:sz w:val="24"/>
        </w:rPr>
        <w:t>1-</w:t>
      </w:r>
      <w:r w:rsidR="0015361B" w:rsidRPr="002F32A2">
        <w:rPr>
          <w:rFonts w:ascii="宋体" w:hAnsi="宋体"/>
          <w:color w:val="000000"/>
          <w:kern w:val="0"/>
          <w:sz w:val="24"/>
        </w:rPr>
        <w:t>3</w:t>
      </w:r>
      <w:r w:rsidRPr="002F32A2">
        <w:rPr>
          <w:rFonts w:ascii="宋体" w:hAnsi="宋体" w:hint="eastAsia"/>
          <w:color w:val="000000"/>
          <w:kern w:val="0"/>
          <w:sz w:val="24"/>
        </w:rPr>
        <w:t>月，发生利息总计人民币</w:t>
      </w:r>
      <w:r w:rsidR="002F32A2" w:rsidRPr="002F32A2">
        <w:rPr>
          <w:rFonts w:ascii="宋体" w:hAnsi="宋体" w:hint="eastAsia"/>
          <w:color w:val="000000"/>
          <w:kern w:val="0"/>
          <w:sz w:val="24"/>
        </w:rPr>
        <w:t>4226.75</w:t>
      </w:r>
      <w:r w:rsidRPr="002F32A2">
        <w:rPr>
          <w:rFonts w:ascii="宋体" w:hAnsi="宋体" w:hint="eastAsia"/>
          <w:color w:val="000000"/>
          <w:kern w:val="0"/>
          <w:sz w:val="24"/>
        </w:rPr>
        <w:t>万元。（详见公告临2019-013、临2019-020</w:t>
      </w:r>
      <w:r w:rsidR="00C22BAD">
        <w:rPr>
          <w:rFonts w:ascii="宋体" w:hAnsi="宋体" w:hint="eastAsia"/>
          <w:color w:val="000000"/>
          <w:kern w:val="0"/>
          <w:sz w:val="24"/>
        </w:rPr>
        <w:t>、临2</w:t>
      </w:r>
      <w:r w:rsidR="00C22BAD">
        <w:rPr>
          <w:rFonts w:ascii="宋体" w:hAnsi="宋体"/>
          <w:color w:val="000000"/>
          <w:kern w:val="0"/>
          <w:sz w:val="24"/>
        </w:rPr>
        <w:t>020</w:t>
      </w:r>
      <w:r w:rsidR="00C22BAD">
        <w:rPr>
          <w:rFonts w:ascii="宋体" w:hAnsi="宋体" w:hint="eastAsia"/>
          <w:color w:val="000000"/>
          <w:kern w:val="0"/>
          <w:sz w:val="24"/>
        </w:rPr>
        <w:t>-</w:t>
      </w:r>
      <w:r w:rsidR="00C22BAD">
        <w:rPr>
          <w:rFonts w:ascii="宋体" w:hAnsi="宋体"/>
          <w:color w:val="000000"/>
          <w:kern w:val="0"/>
          <w:sz w:val="24"/>
        </w:rPr>
        <w:t>003</w:t>
      </w:r>
      <w:r w:rsidR="00C22BAD">
        <w:rPr>
          <w:rFonts w:ascii="宋体" w:hAnsi="宋体" w:hint="eastAsia"/>
          <w:color w:val="000000"/>
          <w:kern w:val="0"/>
          <w:sz w:val="24"/>
        </w:rPr>
        <w:t>、临2</w:t>
      </w:r>
      <w:r w:rsidR="00C22BAD">
        <w:rPr>
          <w:rFonts w:ascii="宋体" w:hAnsi="宋体"/>
          <w:color w:val="000000"/>
          <w:kern w:val="0"/>
          <w:sz w:val="24"/>
        </w:rPr>
        <w:t>020</w:t>
      </w:r>
      <w:r w:rsidR="00C22BAD">
        <w:rPr>
          <w:rFonts w:ascii="宋体" w:hAnsi="宋体" w:hint="eastAsia"/>
          <w:color w:val="000000"/>
          <w:kern w:val="0"/>
          <w:sz w:val="24"/>
        </w:rPr>
        <w:t>-</w:t>
      </w:r>
      <w:r w:rsidR="00C22BAD">
        <w:rPr>
          <w:rFonts w:ascii="宋体" w:hAnsi="宋体"/>
          <w:color w:val="000000"/>
          <w:kern w:val="0"/>
          <w:sz w:val="24"/>
        </w:rPr>
        <w:t>015</w:t>
      </w:r>
      <w:r w:rsidRPr="002F32A2">
        <w:rPr>
          <w:rFonts w:ascii="宋体" w:hAnsi="宋体" w:hint="eastAsia"/>
          <w:color w:val="000000"/>
          <w:kern w:val="0"/>
          <w:sz w:val="24"/>
        </w:rPr>
        <w:t>）</w:t>
      </w:r>
    </w:p>
    <w:p w14:paraId="6B69AB84" w14:textId="1877F4BA" w:rsidR="009931AD" w:rsidRDefault="00AA6188" w:rsidP="00AA6188">
      <w:pPr>
        <w:widowControl/>
        <w:shd w:val="clear" w:color="auto" w:fill="FFFFFF"/>
        <w:spacing w:line="480" w:lineRule="atLeast"/>
        <w:ind w:firstLine="480"/>
        <w:rPr>
          <w:rFonts w:ascii="宋体" w:hAnsi="宋体"/>
          <w:color w:val="000000"/>
          <w:kern w:val="0"/>
          <w:sz w:val="24"/>
        </w:rPr>
      </w:pPr>
      <w:r w:rsidRPr="00AA6188">
        <w:rPr>
          <w:rFonts w:ascii="宋体" w:hAnsi="宋体" w:hint="eastAsia"/>
          <w:color w:val="000000"/>
          <w:kern w:val="0"/>
          <w:sz w:val="24"/>
        </w:rPr>
        <w:t>3、经公司第八届董事会第四次会议审议通过,公司与控股股东陆家嘴集团共同出资设立上海东翌置业有限公司，注册资本人民币75亿元。其中，公司持股比例为60%，认缴出资额人民币45亿元；陆家嘴集团持股比例为40%，认缴出资额人民币30亿元。2019年4月，上海东翌置业有限公司登记设立且注册资本到位。（详见公告临 2019-017）</w:t>
      </w:r>
    </w:p>
    <w:p w14:paraId="4CF4376C" w14:textId="77777777" w:rsidR="00AA6188" w:rsidRPr="00044C71" w:rsidRDefault="00AA6188" w:rsidP="00AA6188">
      <w:pPr>
        <w:widowControl/>
        <w:shd w:val="clear" w:color="auto" w:fill="FFFFFF"/>
        <w:spacing w:line="480" w:lineRule="atLeast"/>
        <w:ind w:firstLine="480"/>
        <w:rPr>
          <w:rFonts w:ascii="宋体" w:hAnsi="宋体"/>
          <w:color w:val="000000"/>
          <w:kern w:val="0"/>
          <w:szCs w:val="21"/>
        </w:rPr>
      </w:pPr>
    </w:p>
    <w:p w14:paraId="0E2A4FFB" w14:textId="0D4D453A" w:rsidR="00347B2A" w:rsidRDefault="00CF1E25" w:rsidP="00872279">
      <w:pPr>
        <w:adjustRightInd w:val="0"/>
        <w:snapToGrid w:val="0"/>
        <w:spacing w:afterLines="50" w:after="156" w:line="480" w:lineRule="exact"/>
        <w:ind w:firstLineChars="200" w:firstLine="482"/>
        <w:rPr>
          <w:b/>
          <w:sz w:val="24"/>
        </w:rPr>
      </w:pPr>
      <w:r>
        <w:rPr>
          <w:rFonts w:hint="eastAsia"/>
          <w:b/>
          <w:sz w:val="24"/>
        </w:rPr>
        <w:t>七</w:t>
      </w:r>
      <w:r w:rsidR="00347B2A" w:rsidRPr="00F14C2F">
        <w:rPr>
          <w:rFonts w:hint="eastAsia"/>
          <w:b/>
          <w:sz w:val="24"/>
        </w:rPr>
        <w:t>、备查文件目录</w:t>
      </w:r>
    </w:p>
    <w:p w14:paraId="54AB1A02" w14:textId="17AD011C" w:rsidR="00D51B8F" w:rsidRPr="00044C71" w:rsidRDefault="00D51B8F" w:rsidP="00D51B8F">
      <w:pPr>
        <w:widowControl/>
        <w:shd w:val="clear" w:color="auto" w:fill="FFFFFF"/>
        <w:spacing w:line="480" w:lineRule="atLeast"/>
        <w:ind w:firstLine="480"/>
        <w:rPr>
          <w:rFonts w:ascii="宋体" w:hAnsi="宋体"/>
          <w:color w:val="000000"/>
          <w:kern w:val="0"/>
          <w:sz w:val="24"/>
        </w:rPr>
      </w:pPr>
      <w:r w:rsidRPr="00044C71">
        <w:rPr>
          <w:rFonts w:ascii="宋体" w:hAnsi="宋体" w:hint="eastAsia"/>
          <w:color w:val="000000"/>
          <w:kern w:val="0"/>
          <w:sz w:val="24"/>
        </w:rPr>
        <w:t>（一）《上海陆家嘴金融贸易区开发股份有限公司第八届董事会第</w:t>
      </w:r>
      <w:r w:rsidR="00AA6188">
        <w:rPr>
          <w:rFonts w:ascii="宋体" w:hAnsi="宋体" w:hint="eastAsia"/>
          <w:color w:val="000000"/>
          <w:kern w:val="0"/>
          <w:sz w:val="24"/>
        </w:rPr>
        <w:t>九</w:t>
      </w:r>
      <w:r w:rsidRPr="00044C71">
        <w:rPr>
          <w:rFonts w:ascii="宋体" w:hAnsi="宋体" w:hint="eastAsia"/>
          <w:color w:val="000000"/>
          <w:kern w:val="0"/>
          <w:sz w:val="24"/>
        </w:rPr>
        <w:t>次会议决议》；</w:t>
      </w:r>
    </w:p>
    <w:p w14:paraId="4311A0CF" w14:textId="267431E8" w:rsidR="00D51B8F" w:rsidRPr="00044C71" w:rsidRDefault="00D51B8F" w:rsidP="00D51B8F">
      <w:pPr>
        <w:widowControl/>
        <w:shd w:val="clear" w:color="auto" w:fill="FFFFFF"/>
        <w:spacing w:line="480" w:lineRule="atLeast"/>
        <w:ind w:firstLine="480"/>
        <w:rPr>
          <w:rFonts w:ascii="宋体" w:hAnsi="宋体"/>
          <w:color w:val="000000"/>
          <w:kern w:val="0"/>
          <w:sz w:val="24"/>
        </w:rPr>
      </w:pPr>
      <w:r w:rsidRPr="00044C71">
        <w:rPr>
          <w:rFonts w:ascii="宋体" w:hAnsi="宋体" w:hint="eastAsia"/>
          <w:color w:val="000000"/>
          <w:kern w:val="0"/>
          <w:sz w:val="24"/>
        </w:rPr>
        <w:t>（二）经独立董事签字的</w:t>
      </w:r>
      <w:r w:rsidR="00AA6188" w:rsidRPr="00AA6188">
        <w:rPr>
          <w:rFonts w:ascii="宋体" w:hAnsi="宋体" w:hint="eastAsia"/>
          <w:sz w:val="24"/>
        </w:rPr>
        <w:t>《独立董事关于公司与关联方共同对上海东翌置业有限公司进行增资议案的事前认可意见书》</w:t>
      </w:r>
      <w:r w:rsidRPr="00044C71">
        <w:rPr>
          <w:rFonts w:ascii="宋体" w:hAnsi="宋体" w:hint="eastAsia"/>
          <w:color w:val="000000"/>
          <w:kern w:val="0"/>
          <w:sz w:val="24"/>
        </w:rPr>
        <w:t>；</w:t>
      </w:r>
    </w:p>
    <w:p w14:paraId="1652F620" w14:textId="1017E603" w:rsidR="00D51B8F" w:rsidRPr="00044C71" w:rsidRDefault="00D51B8F" w:rsidP="00D51B8F">
      <w:pPr>
        <w:widowControl/>
        <w:shd w:val="clear" w:color="auto" w:fill="FFFFFF"/>
        <w:spacing w:line="480" w:lineRule="atLeast"/>
        <w:ind w:firstLine="480"/>
        <w:rPr>
          <w:rFonts w:ascii="宋体" w:hAnsi="宋体"/>
          <w:color w:val="000000"/>
          <w:kern w:val="0"/>
          <w:sz w:val="24"/>
        </w:rPr>
      </w:pPr>
      <w:r w:rsidRPr="00044C71">
        <w:rPr>
          <w:rFonts w:ascii="宋体" w:hAnsi="宋体" w:hint="eastAsia"/>
          <w:color w:val="000000"/>
          <w:kern w:val="0"/>
          <w:sz w:val="24"/>
        </w:rPr>
        <w:t>（三）经独立董事签字的</w:t>
      </w:r>
      <w:r w:rsidR="00AA6188" w:rsidRPr="00AA6188">
        <w:rPr>
          <w:rFonts w:ascii="宋体" w:hAnsi="宋体" w:hint="eastAsia"/>
          <w:sz w:val="24"/>
        </w:rPr>
        <w:t>《独立董事关于公司与关联方共同对上海东翌置业有限公司进行增资的独立意见》</w:t>
      </w:r>
      <w:r w:rsidRPr="00044C71">
        <w:rPr>
          <w:rFonts w:ascii="宋体" w:hAnsi="宋体" w:hint="eastAsia"/>
          <w:color w:val="000000"/>
          <w:kern w:val="0"/>
          <w:sz w:val="24"/>
        </w:rPr>
        <w:t>。</w:t>
      </w:r>
    </w:p>
    <w:p w14:paraId="0AB2BDD9" w14:textId="77777777" w:rsidR="00D51B8F" w:rsidRPr="00AA6188" w:rsidRDefault="00D51B8F" w:rsidP="00D51B8F">
      <w:pPr>
        <w:widowControl/>
        <w:shd w:val="clear" w:color="auto" w:fill="FFFFFF"/>
        <w:spacing w:line="480" w:lineRule="atLeast"/>
        <w:ind w:firstLine="480"/>
        <w:rPr>
          <w:rFonts w:ascii="宋体" w:hAnsi="宋体"/>
          <w:color w:val="000000"/>
          <w:kern w:val="0"/>
          <w:sz w:val="24"/>
        </w:rPr>
      </w:pPr>
    </w:p>
    <w:p w14:paraId="1CB79F30" w14:textId="36C04F66" w:rsidR="00B224E3" w:rsidRPr="00D51B8F" w:rsidRDefault="00B224E3" w:rsidP="00D51B8F">
      <w:pPr>
        <w:widowControl/>
        <w:shd w:val="clear" w:color="auto" w:fill="FFFFFF"/>
        <w:spacing w:line="480" w:lineRule="atLeast"/>
        <w:ind w:firstLine="480"/>
        <w:rPr>
          <w:rFonts w:ascii="宋体" w:hAnsi="宋体"/>
          <w:color w:val="000000"/>
          <w:kern w:val="0"/>
          <w:sz w:val="24"/>
        </w:rPr>
      </w:pPr>
      <w:r w:rsidRPr="00D51B8F">
        <w:rPr>
          <w:rFonts w:ascii="宋体" w:hAnsi="宋体"/>
          <w:color w:val="000000"/>
          <w:kern w:val="0"/>
          <w:sz w:val="24"/>
        </w:rPr>
        <w:t>特此公告。</w:t>
      </w:r>
    </w:p>
    <w:p w14:paraId="26BEA06B" w14:textId="77777777" w:rsidR="00B224E3" w:rsidRPr="00403DC4" w:rsidRDefault="00B224E3" w:rsidP="00872279">
      <w:pPr>
        <w:adjustRightInd w:val="0"/>
        <w:snapToGrid w:val="0"/>
        <w:spacing w:afterLines="50" w:after="156" w:line="480" w:lineRule="exact"/>
        <w:ind w:firstLine="539"/>
        <w:jc w:val="right"/>
        <w:rPr>
          <w:rFonts w:ascii="宋体" w:hAnsi="宋体"/>
          <w:sz w:val="24"/>
        </w:rPr>
      </w:pPr>
      <w:r w:rsidRPr="00403DC4">
        <w:rPr>
          <w:rFonts w:ascii="宋体" w:hAnsi="宋体"/>
          <w:sz w:val="24"/>
        </w:rPr>
        <w:t>上海陆家嘴金融贸易区开发股份有限公司</w:t>
      </w:r>
    </w:p>
    <w:p w14:paraId="7A1CEB54" w14:textId="7043C601" w:rsidR="00B224E3" w:rsidRDefault="00347B2A" w:rsidP="00872279">
      <w:pPr>
        <w:adjustRightInd w:val="0"/>
        <w:snapToGrid w:val="0"/>
        <w:spacing w:afterLines="50" w:after="156" w:line="480" w:lineRule="exact"/>
        <w:ind w:firstLine="539"/>
        <w:jc w:val="right"/>
        <w:rPr>
          <w:rFonts w:ascii="宋体" w:hAnsi="宋体"/>
          <w:sz w:val="24"/>
        </w:rPr>
      </w:pPr>
      <w:r w:rsidRPr="00403DC4">
        <w:rPr>
          <w:rFonts w:ascii="宋体" w:hAnsi="宋体" w:hint="eastAsia"/>
          <w:sz w:val="24"/>
        </w:rPr>
        <w:t>二〇</w:t>
      </w:r>
      <w:r w:rsidR="00AA6188">
        <w:rPr>
          <w:rFonts w:ascii="宋体" w:hAnsi="宋体" w:hint="eastAsia"/>
          <w:sz w:val="24"/>
        </w:rPr>
        <w:t>二〇</w:t>
      </w:r>
      <w:r w:rsidRPr="00403DC4">
        <w:rPr>
          <w:rFonts w:ascii="宋体" w:hAnsi="宋体"/>
          <w:sz w:val="24"/>
        </w:rPr>
        <w:t>年</w:t>
      </w:r>
      <w:r w:rsidR="00AA6188">
        <w:rPr>
          <w:rFonts w:ascii="宋体" w:hAnsi="宋体" w:hint="eastAsia"/>
          <w:sz w:val="24"/>
        </w:rPr>
        <w:t>四</w:t>
      </w:r>
      <w:r w:rsidRPr="00403DC4">
        <w:rPr>
          <w:rFonts w:ascii="宋体" w:hAnsi="宋体"/>
          <w:sz w:val="24"/>
        </w:rPr>
        <w:t>月</w:t>
      </w:r>
      <w:r w:rsidR="006104A5">
        <w:rPr>
          <w:rFonts w:ascii="宋体" w:hAnsi="宋体" w:hint="eastAsia"/>
          <w:sz w:val="24"/>
        </w:rPr>
        <w:t>三十</w:t>
      </w:r>
      <w:r w:rsidR="00B224E3" w:rsidRPr="00403DC4">
        <w:rPr>
          <w:rFonts w:ascii="宋体" w:hAnsi="宋体"/>
          <w:sz w:val="24"/>
        </w:rPr>
        <w:t>日</w:t>
      </w:r>
    </w:p>
    <w:sectPr w:rsidR="00B224E3" w:rsidSect="009C004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868D3" w14:textId="77777777" w:rsidR="003853F3" w:rsidRDefault="003853F3" w:rsidP="002D68C5">
      <w:r>
        <w:separator/>
      </w:r>
    </w:p>
  </w:endnote>
  <w:endnote w:type="continuationSeparator" w:id="0">
    <w:p w14:paraId="69245E1F" w14:textId="77777777" w:rsidR="003853F3" w:rsidRDefault="003853F3" w:rsidP="002D68C5">
      <w:r>
        <w:continuationSeparator/>
      </w:r>
    </w:p>
  </w:endnote>
  <w:endnote w:type="continuationNotice" w:id="1">
    <w:p w14:paraId="14BD8B27" w14:textId="77777777" w:rsidR="003853F3" w:rsidRDefault="00385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016C2" w14:textId="77777777" w:rsidR="003853F3" w:rsidRDefault="003853F3" w:rsidP="002D68C5">
      <w:r>
        <w:separator/>
      </w:r>
    </w:p>
  </w:footnote>
  <w:footnote w:type="continuationSeparator" w:id="0">
    <w:p w14:paraId="70DF4C1A" w14:textId="77777777" w:rsidR="003853F3" w:rsidRDefault="003853F3" w:rsidP="002D68C5">
      <w:r>
        <w:continuationSeparator/>
      </w:r>
    </w:p>
  </w:footnote>
  <w:footnote w:type="continuationNotice" w:id="1">
    <w:p w14:paraId="1FE3B892" w14:textId="77777777" w:rsidR="003853F3" w:rsidRDefault="003853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43005"/>
    <w:multiLevelType w:val="multilevel"/>
    <w:tmpl w:val="3F643005"/>
    <w:lvl w:ilvl="0">
      <w:start w:val="1"/>
      <w:numFmt w:val="bullet"/>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 w15:restartNumberingAfterBreak="0">
    <w:nsid w:val="4B413555"/>
    <w:multiLevelType w:val="hybridMultilevel"/>
    <w:tmpl w:val="2280FB5A"/>
    <w:lvl w:ilvl="0" w:tplc="661EECEE">
      <w:start w:val="1"/>
      <w:numFmt w:val="japaneseCounting"/>
      <w:lvlText w:val="（%1）"/>
      <w:lvlJc w:val="left"/>
      <w:pPr>
        <w:ind w:left="1200" w:hanging="720"/>
      </w:pPr>
      <w:rPr>
        <w:rFonts w:hint="default"/>
        <w:lang w:val="en-US"/>
      </w:rPr>
    </w:lvl>
    <w:lvl w:ilvl="1" w:tplc="CE144C52">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B912FD9"/>
    <w:multiLevelType w:val="hybridMultilevel"/>
    <w:tmpl w:val="BA6E9A3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DAA3EF5"/>
    <w:multiLevelType w:val="multilevel"/>
    <w:tmpl w:val="4DAA3EF5"/>
    <w:lvl w:ilvl="0">
      <w:start w:val="1"/>
      <w:numFmt w:val="chineseCountingThousand"/>
      <w:lvlText w:val="第%1条"/>
      <w:lvlJc w:val="left"/>
      <w:pPr>
        <w:tabs>
          <w:tab w:val="num" w:pos="680"/>
        </w:tabs>
        <w:ind w:left="680" w:hanging="680"/>
      </w:pPr>
      <w:rPr>
        <w:rFonts w:ascii="宋体" w:eastAsia="宋体" w:hAnsi="宋体" w:cs="Times New Roman" w:hint="eastAsia"/>
        <w:b/>
        <w:i w:val="0"/>
        <w:sz w:val="24"/>
        <w:szCs w:val="24"/>
        <w:lang w:val="en-US"/>
      </w:rPr>
    </w:lvl>
    <w:lvl w:ilvl="1">
      <w:start w:val="1"/>
      <w:numFmt w:val="chineseCountingThousand"/>
      <w:isLgl/>
      <w:lvlText w:val="%1.%2"/>
      <w:lvlJc w:val="left"/>
      <w:pPr>
        <w:tabs>
          <w:tab w:val="num" w:pos="680"/>
        </w:tabs>
        <w:ind w:left="0" w:firstLine="0"/>
      </w:pPr>
      <w:rPr>
        <w:rFonts w:ascii="宋体" w:eastAsia="宋体" w:hAnsi="宋体" w:cs="Times New Roman" w:hint="default"/>
        <w:b w:val="0"/>
        <w:i w:val="0"/>
        <w:sz w:val="21"/>
        <w:szCs w:val="21"/>
      </w:rPr>
    </w:lvl>
    <w:lvl w:ilvl="2">
      <w:start w:val="1"/>
      <w:numFmt w:val="decimal"/>
      <w:isLgl/>
      <w:lvlText w:val="%1.%2.%3"/>
      <w:lvlJc w:val="left"/>
      <w:pPr>
        <w:tabs>
          <w:tab w:val="num" w:pos="340"/>
        </w:tabs>
        <w:ind w:left="680" w:hanging="226"/>
      </w:pPr>
      <w:rPr>
        <w:rFonts w:ascii="宋体" w:eastAsia="宋体" w:hAnsi="宋体" w:cs="Times New Roman" w:hint="default"/>
        <w:b w:val="0"/>
        <w:i w:val="0"/>
        <w:sz w:val="21"/>
        <w:szCs w:val="21"/>
      </w:rPr>
    </w:lvl>
    <w:lvl w:ilvl="3">
      <w:start w:val="1"/>
      <w:numFmt w:val="decimal"/>
      <w:lvlText w:val="(%4)"/>
      <w:lvlJc w:val="left"/>
      <w:pPr>
        <w:tabs>
          <w:tab w:val="num" w:pos="994"/>
        </w:tabs>
        <w:ind w:left="1220" w:hanging="680"/>
      </w:pPr>
      <w:rPr>
        <w:rFonts w:ascii="宋体" w:eastAsia="宋体" w:hAnsi="宋体" w:cs="Times New Roman" w:hint="default"/>
        <w:sz w:val="21"/>
        <w:szCs w:val="21"/>
      </w:rPr>
    </w:lvl>
    <w:lvl w:ilvl="4">
      <w:start w:val="1"/>
      <w:numFmt w:val="lowerLetter"/>
      <w:lvlText w:val="%5）"/>
      <w:lvlJc w:val="left"/>
      <w:pPr>
        <w:tabs>
          <w:tab w:val="num" w:pos="2608"/>
        </w:tabs>
        <w:ind w:left="2608" w:hanging="567"/>
      </w:pPr>
      <w:rPr>
        <w:rFonts w:ascii="宋体" w:eastAsia="宋体" w:hAnsi="宋体" w:cs="Times New Roman" w:hint="default"/>
        <w:sz w:val="21"/>
        <w:szCs w:val="21"/>
      </w:rPr>
    </w:lvl>
    <w:lvl w:ilvl="5">
      <w:start w:val="1"/>
      <w:numFmt w:val="lowerLetter"/>
      <w:lvlText w:val="%6)"/>
      <w:lvlJc w:val="left"/>
      <w:pPr>
        <w:tabs>
          <w:tab w:val="num" w:pos="3289"/>
        </w:tabs>
        <w:ind w:left="3289" w:hanging="681"/>
      </w:pPr>
      <w:rPr>
        <w:rFonts w:hint="eastAsia"/>
      </w:rPr>
    </w:lvl>
    <w:lvl w:ilvl="6">
      <w:start w:val="1"/>
      <w:numFmt w:val="none"/>
      <w:lvlText w:val=""/>
      <w:lvlJc w:val="left"/>
      <w:pPr>
        <w:tabs>
          <w:tab w:val="num" w:pos="3240"/>
        </w:tabs>
        <w:ind w:left="3240" w:hanging="1080"/>
      </w:pPr>
      <w:rPr>
        <w:rFonts w:hint="eastAsia"/>
      </w:rPr>
    </w:lvl>
    <w:lvl w:ilvl="7">
      <w:start w:val="1"/>
      <w:numFmt w:val="none"/>
      <w:lvlText w:val=""/>
      <w:lvlJc w:val="left"/>
      <w:pPr>
        <w:tabs>
          <w:tab w:val="num" w:pos="3744"/>
        </w:tabs>
        <w:ind w:left="3744" w:hanging="1224"/>
      </w:pPr>
      <w:rPr>
        <w:rFonts w:hint="eastAsia"/>
      </w:rPr>
    </w:lvl>
    <w:lvl w:ilvl="8">
      <w:start w:val="1"/>
      <w:numFmt w:val="none"/>
      <w:lvlText w:val=""/>
      <w:lvlJc w:val="left"/>
      <w:pPr>
        <w:tabs>
          <w:tab w:val="num" w:pos="4320"/>
        </w:tabs>
        <w:ind w:left="4320" w:hanging="1440"/>
      </w:pPr>
      <w:rPr>
        <w:rFonts w:hint="eastAsia"/>
      </w:rPr>
    </w:lvl>
  </w:abstractNum>
  <w:abstractNum w:abstractNumId="4" w15:restartNumberingAfterBreak="0">
    <w:nsid w:val="5AFCE1A2"/>
    <w:multiLevelType w:val="singleLevel"/>
    <w:tmpl w:val="5AFCE1A2"/>
    <w:lvl w:ilvl="0">
      <w:start w:val="7"/>
      <w:numFmt w:val="chineseCounting"/>
      <w:suff w:val="nothing"/>
      <w:lvlText w:val="%1、"/>
      <w:lvlJc w:val="left"/>
      <w:rPr>
        <w:rFonts w:hint="eastAsia"/>
      </w:rPr>
    </w:lvl>
  </w:abstractNum>
  <w:abstractNum w:abstractNumId="5" w15:restartNumberingAfterBreak="0">
    <w:nsid w:val="63C1390E"/>
    <w:multiLevelType w:val="hybridMultilevel"/>
    <w:tmpl w:val="5B2875D2"/>
    <w:lvl w:ilvl="0" w:tplc="4E7096F2">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15:restartNumberingAfterBreak="0">
    <w:nsid w:val="6A1E57A3"/>
    <w:multiLevelType w:val="hybridMultilevel"/>
    <w:tmpl w:val="A364BB2A"/>
    <w:lvl w:ilvl="0" w:tplc="CE144C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4"/>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08"/>
    <w:rsid w:val="000033F2"/>
    <w:rsid w:val="00004631"/>
    <w:rsid w:val="000057DC"/>
    <w:rsid w:val="00010C96"/>
    <w:rsid w:val="000141B5"/>
    <w:rsid w:val="00016240"/>
    <w:rsid w:val="00022CFB"/>
    <w:rsid w:val="000237E1"/>
    <w:rsid w:val="000240E9"/>
    <w:rsid w:val="000257CC"/>
    <w:rsid w:val="000339F6"/>
    <w:rsid w:val="00034BAE"/>
    <w:rsid w:val="00036D48"/>
    <w:rsid w:val="00040795"/>
    <w:rsid w:val="00042AE9"/>
    <w:rsid w:val="0004693B"/>
    <w:rsid w:val="00052AD9"/>
    <w:rsid w:val="00052DA7"/>
    <w:rsid w:val="00056203"/>
    <w:rsid w:val="000602FC"/>
    <w:rsid w:val="00075C30"/>
    <w:rsid w:val="00077515"/>
    <w:rsid w:val="0007781E"/>
    <w:rsid w:val="00082086"/>
    <w:rsid w:val="00084BCB"/>
    <w:rsid w:val="00084F15"/>
    <w:rsid w:val="000850FD"/>
    <w:rsid w:val="000854B6"/>
    <w:rsid w:val="00090C9B"/>
    <w:rsid w:val="00094798"/>
    <w:rsid w:val="00096977"/>
    <w:rsid w:val="00096A91"/>
    <w:rsid w:val="000A0C57"/>
    <w:rsid w:val="000A0E8F"/>
    <w:rsid w:val="000A0EE9"/>
    <w:rsid w:val="000A1D77"/>
    <w:rsid w:val="000A1E33"/>
    <w:rsid w:val="000A291F"/>
    <w:rsid w:val="000A3200"/>
    <w:rsid w:val="000A3DCA"/>
    <w:rsid w:val="000A412E"/>
    <w:rsid w:val="000A5C35"/>
    <w:rsid w:val="000B5764"/>
    <w:rsid w:val="000B63C5"/>
    <w:rsid w:val="000C4409"/>
    <w:rsid w:val="000C47D3"/>
    <w:rsid w:val="000C5B22"/>
    <w:rsid w:val="000D11C2"/>
    <w:rsid w:val="000D17C1"/>
    <w:rsid w:val="000D427A"/>
    <w:rsid w:val="000D4DE1"/>
    <w:rsid w:val="000D53F3"/>
    <w:rsid w:val="000D5B0F"/>
    <w:rsid w:val="000D612C"/>
    <w:rsid w:val="000E0A9A"/>
    <w:rsid w:val="000E52FB"/>
    <w:rsid w:val="000E6413"/>
    <w:rsid w:val="000F27A7"/>
    <w:rsid w:val="000F27FA"/>
    <w:rsid w:val="000F33DA"/>
    <w:rsid w:val="000F5CF1"/>
    <w:rsid w:val="000F63ED"/>
    <w:rsid w:val="00104DF4"/>
    <w:rsid w:val="00105884"/>
    <w:rsid w:val="00106BCE"/>
    <w:rsid w:val="00106C00"/>
    <w:rsid w:val="001073F9"/>
    <w:rsid w:val="00110096"/>
    <w:rsid w:val="00110DF8"/>
    <w:rsid w:val="0011527C"/>
    <w:rsid w:val="00121005"/>
    <w:rsid w:val="0012330C"/>
    <w:rsid w:val="0012656B"/>
    <w:rsid w:val="00126C9C"/>
    <w:rsid w:val="0013115A"/>
    <w:rsid w:val="00133324"/>
    <w:rsid w:val="00133FB9"/>
    <w:rsid w:val="00140425"/>
    <w:rsid w:val="00140A0A"/>
    <w:rsid w:val="00141C74"/>
    <w:rsid w:val="00141D50"/>
    <w:rsid w:val="0014598F"/>
    <w:rsid w:val="00145A58"/>
    <w:rsid w:val="00150FF3"/>
    <w:rsid w:val="0015164C"/>
    <w:rsid w:val="0015361B"/>
    <w:rsid w:val="00160F13"/>
    <w:rsid w:val="001637D9"/>
    <w:rsid w:val="00164E71"/>
    <w:rsid w:val="001674FA"/>
    <w:rsid w:val="00167722"/>
    <w:rsid w:val="001709F5"/>
    <w:rsid w:val="00170D49"/>
    <w:rsid w:val="00171141"/>
    <w:rsid w:val="00173900"/>
    <w:rsid w:val="00173A75"/>
    <w:rsid w:val="00175329"/>
    <w:rsid w:val="00177083"/>
    <w:rsid w:val="001848DB"/>
    <w:rsid w:val="00184F10"/>
    <w:rsid w:val="00193816"/>
    <w:rsid w:val="00193BBD"/>
    <w:rsid w:val="00196B9E"/>
    <w:rsid w:val="001A115C"/>
    <w:rsid w:val="001A50A2"/>
    <w:rsid w:val="001A6CD5"/>
    <w:rsid w:val="001B1A07"/>
    <w:rsid w:val="001B1F95"/>
    <w:rsid w:val="001B7F46"/>
    <w:rsid w:val="001C073E"/>
    <w:rsid w:val="001C2A9B"/>
    <w:rsid w:val="001C4698"/>
    <w:rsid w:val="001C53AD"/>
    <w:rsid w:val="001D0E57"/>
    <w:rsid w:val="001D1CCE"/>
    <w:rsid w:val="001D2A95"/>
    <w:rsid w:val="001D5762"/>
    <w:rsid w:val="001D6561"/>
    <w:rsid w:val="001E0194"/>
    <w:rsid w:val="001E0954"/>
    <w:rsid w:val="001E144A"/>
    <w:rsid w:val="001E1953"/>
    <w:rsid w:val="001E415A"/>
    <w:rsid w:val="001F067E"/>
    <w:rsid w:val="001F160A"/>
    <w:rsid w:val="001F1D3E"/>
    <w:rsid w:val="001F21BC"/>
    <w:rsid w:val="001F2FD9"/>
    <w:rsid w:val="001F394F"/>
    <w:rsid w:val="001F61C6"/>
    <w:rsid w:val="0020249A"/>
    <w:rsid w:val="0020642B"/>
    <w:rsid w:val="00207FF5"/>
    <w:rsid w:val="002127D7"/>
    <w:rsid w:val="00213DD7"/>
    <w:rsid w:val="002142EE"/>
    <w:rsid w:val="00232B8D"/>
    <w:rsid w:val="00232F21"/>
    <w:rsid w:val="00235824"/>
    <w:rsid w:val="00236B1E"/>
    <w:rsid w:val="00241F47"/>
    <w:rsid w:val="002420FF"/>
    <w:rsid w:val="00244A68"/>
    <w:rsid w:val="00247557"/>
    <w:rsid w:val="002527BE"/>
    <w:rsid w:val="002556FC"/>
    <w:rsid w:val="00255D64"/>
    <w:rsid w:val="002562EA"/>
    <w:rsid w:val="00257A6B"/>
    <w:rsid w:val="00260C87"/>
    <w:rsid w:val="00261017"/>
    <w:rsid w:val="00261B0A"/>
    <w:rsid w:val="00261B53"/>
    <w:rsid w:val="00264928"/>
    <w:rsid w:val="00264D62"/>
    <w:rsid w:val="00265C78"/>
    <w:rsid w:val="00266CEF"/>
    <w:rsid w:val="00266F1A"/>
    <w:rsid w:val="00267647"/>
    <w:rsid w:val="002721FB"/>
    <w:rsid w:val="00272F3D"/>
    <w:rsid w:val="0027318F"/>
    <w:rsid w:val="00275FD8"/>
    <w:rsid w:val="0028051A"/>
    <w:rsid w:val="0028105F"/>
    <w:rsid w:val="0028164A"/>
    <w:rsid w:val="0028326D"/>
    <w:rsid w:val="00284AB2"/>
    <w:rsid w:val="00286D16"/>
    <w:rsid w:val="00292E0D"/>
    <w:rsid w:val="00292FBD"/>
    <w:rsid w:val="002979B1"/>
    <w:rsid w:val="002A1858"/>
    <w:rsid w:val="002A4F71"/>
    <w:rsid w:val="002A69F8"/>
    <w:rsid w:val="002B45E5"/>
    <w:rsid w:val="002B47CC"/>
    <w:rsid w:val="002C01F3"/>
    <w:rsid w:val="002C03EF"/>
    <w:rsid w:val="002C26D2"/>
    <w:rsid w:val="002C3D99"/>
    <w:rsid w:val="002C3FE2"/>
    <w:rsid w:val="002C4B05"/>
    <w:rsid w:val="002C59F3"/>
    <w:rsid w:val="002C73B6"/>
    <w:rsid w:val="002C785A"/>
    <w:rsid w:val="002D0C69"/>
    <w:rsid w:val="002D169E"/>
    <w:rsid w:val="002D4DD6"/>
    <w:rsid w:val="002D68C5"/>
    <w:rsid w:val="002D7641"/>
    <w:rsid w:val="002E524D"/>
    <w:rsid w:val="002F32A2"/>
    <w:rsid w:val="002F3F5C"/>
    <w:rsid w:val="002F4645"/>
    <w:rsid w:val="00300A0D"/>
    <w:rsid w:val="0030125D"/>
    <w:rsid w:val="00302376"/>
    <w:rsid w:val="00302D75"/>
    <w:rsid w:val="003032B5"/>
    <w:rsid w:val="003052DA"/>
    <w:rsid w:val="00305A60"/>
    <w:rsid w:val="00310CE7"/>
    <w:rsid w:val="00311987"/>
    <w:rsid w:val="00311C94"/>
    <w:rsid w:val="00312137"/>
    <w:rsid w:val="003136B5"/>
    <w:rsid w:val="00316016"/>
    <w:rsid w:val="00317C52"/>
    <w:rsid w:val="00322D3A"/>
    <w:rsid w:val="003237CE"/>
    <w:rsid w:val="00324763"/>
    <w:rsid w:val="00324E83"/>
    <w:rsid w:val="00326796"/>
    <w:rsid w:val="00333B2A"/>
    <w:rsid w:val="0033671A"/>
    <w:rsid w:val="00337737"/>
    <w:rsid w:val="00341F41"/>
    <w:rsid w:val="00342203"/>
    <w:rsid w:val="003460CD"/>
    <w:rsid w:val="00347493"/>
    <w:rsid w:val="00347B2A"/>
    <w:rsid w:val="00350FB2"/>
    <w:rsid w:val="00352D08"/>
    <w:rsid w:val="00355364"/>
    <w:rsid w:val="00356079"/>
    <w:rsid w:val="00360B95"/>
    <w:rsid w:val="00362E64"/>
    <w:rsid w:val="00366F0D"/>
    <w:rsid w:val="0037027C"/>
    <w:rsid w:val="00370B0B"/>
    <w:rsid w:val="0037454A"/>
    <w:rsid w:val="0037537A"/>
    <w:rsid w:val="00382DE1"/>
    <w:rsid w:val="0038385B"/>
    <w:rsid w:val="00385121"/>
    <w:rsid w:val="003853F3"/>
    <w:rsid w:val="00391FD0"/>
    <w:rsid w:val="0039557D"/>
    <w:rsid w:val="00397E58"/>
    <w:rsid w:val="003A1154"/>
    <w:rsid w:val="003A177E"/>
    <w:rsid w:val="003A372F"/>
    <w:rsid w:val="003A3C5F"/>
    <w:rsid w:val="003A531F"/>
    <w:rsid w:val="003A5DBC"/>
    <w:rsid w:val="003B5AF0"/>
    <w:rsid w:val="003C2B4A"/>
    <w:rsid w:val="003C54CA"/>
    <w:rsid w:val="003D07BB"/>
    <w:rsid w:val="003D1B58"/>
    <w:rsid w:val="003D2AAB"/>
    <w:rsid w:val="003D3492"/>
    <w:rsid w:val="003D3955"/>
    <w:rsid w:val="003D3AC9"/>
    <w:rsid w:val="003D5561"/>
    <w:rsid w:val="003D68B8"/>
    <w:rsid w:val="003D740B"/>
    <w:rsid w:val="003F3D16"/>
    <w:rsid w:val="004003E7"/>
    <w:rsid w:val="00402B2F"/>
    <w:rsid w:val="00403DC4"/>
    <w:rsid w:val="004054CB"/>
    <w:rsid w:val="004058E0"/>
    <w:rsid w:val="00406D48"/>
    <w:rsid w:val="00407A8E"/>
    <w:rsid w:val="00407F5A"/>
    <w:rsid w:val="0041269F"/>
    <w:rsid w:val="004137D5"/>
    <w:rsid w:val="004147A7"/>
    <w:rsid w:val="00414C5E"/>
    <w:rsid w:val="00415459"/>
    <w:rsid w:val="0041547C"/>
    <w:rsid w:val="00417A3C"/>
    <w:rsid w:val="00417AFD"/>
    <w:rsid w:val="00417DAE"/>
    <w:rsid w:val="0042268D"/>
    <w:rsid w:val="004231A4"/>
    <w:rsid w:val="0043243F"/>
    <w:rsid w:val="00436D1E"/>
    <w:rsid w:val="00450198"/>
    <w:rsid w:val="0045151E"/>
    <w:rsid w:val="00452604"/>
    <w:rsid w:val="00452908"/>
    <w:rsid w:val="0045366E"/>
    <w:rsid w:val="0045378A"/>
    <w:rsid w:val="0045693B"/>
    <w:rsid w:val="0046044E"/>
    <w:rsid w:val="00462F26"/>
    <w:rsid w:val="0046676B"/>
    <w:rsid w:val="004667B0"/>
    <w:rsid w:val="004676CB"/>
    <w:rsid w:val="00467EAC"/>
    <w:rsid w:val="00471CF9"/>
    <w:rsid w:val="00473D77"/>
    <w:rsid w:val="00474B5C"/>
    <w:rsid w:val="0047661F"/>
    <w:rsid w:val="00476F17"/>
    <w:rsid w:val="00481976"/>
    <w:rsid w:val="00483184"/>
    <w:rsid w:val="00485006"/>
    <w:rsid w:val="00491336"/>
    <w:rsid w:val="00492FC3"/>
    <w:rsid w:val="004945D8"/>
    <w:rsid w:val="004947F9"/>
    <w:rsid w:val="0049533A"/>
    <w:rsid w:val="0049676C"/>
    <w:rsid w:val="0049757E"/>
    <w:rsid w:val="004978FF"/>
    <w:rsid w:val="004A28F0"/>
    <w:rsid w:val="004A2F47"/>
    <w:rsid w:val="004A2F71"/>
    <w:rsid w:val="004A343F"/>
    <w:rsid w:val="004A39A6"/>
    <w:rsid w:val="004A6BC6"/>
    <w:rsid w:val="004B1DEA"/>
    <w:rsid w:val="004B25AE"/>
    <w:rsid w:val="004B36DF"/>
    <w:rsid w:val="004B6121"/>
    <w:rsid w:val="004B71E9"/>
    <w:rsid w:val="004B7ED2"/>
    <w:rsid w:val="004C1C89"/>
    <w:rsid w:val="004C21C4"/>
    <w:rsid w:val="004C25F3"/>
    <w:rsid w:val="004C6E19"/>
    <w:rsid w:val="004D0F0F"/>
    <w:rsid w:val="004D1C2C"/>
    <w:rsid w:val="004D3AEE"/>
    <w:rsid w:val="004D6066"/>
    <w:rsid w:val="004E156A"/>
    <w:rsid w:val="004E3012"/>
    <w:rsid w:val="004E3B05"/>
    <w:rsid w:val="004E4B11"/>
    <w:rsid w:val="004E6119"/>
    <w:rsid w:val="004E71AF"/>
    <w:rsid w:val="004F1158"/>
    <w:rsid w:val="004F4D88"/>
    <w:rsid w:val="004F4DD4"/>
    <w:rsid w:val="00500EBB"/>
    <w:rsid w:val="00501248"/>
    <w:rsid w:val="005020DC"/>
    <w:rsid w:val="0050378E"/>
    <w:rsid w:val="00505023"/>
    <w:rsid w:val="005121F5"/>
    <w:rsid w:val="00514263"/>
    <w:rsid w:val="005142A3"/>
    <w:rsid w:val="00514914"/>
    <w:rsid w:val="00515127"/>
    <w:rsid w:val="005159D2"/>
    <w:rsid w:val="00516BC3"/>
    <w:rsid w:val="00520AF8"/>
    <w:rsid w:val="00521C3A"/>
    <w:rsid w:val="005249DB"/>
    <w:rsid w:val="00525C8F"/>
    <w:rsid w:val="0052631B"/>
    <w:rsid w:val="00526616"/>
    <w:rsid w:val="00526BDF"/>
    <w:rsid w:val="0053372A"/>
    <w:rsid w:val="00537F1F"/>
    <w:rsid w:val="00540BD4"/>
    <w:rsid w:val="0054142D"/>
    <w:rsid w:val="00541D0A"/>
    <w:rsid w:val="00543745"/>
    <w:rsid w:val="0054588C"/>
    <w:rsid w:val="005459E2"/>
    <w:rsid w:val="00545D0E"/>
    <w:rsid w:val="005464BF"/>
    <w:rsid w:val="005511FE"/>
    <w:rsid w:val="00551DDF"/>
    <w:rsid w:val="00554D53"/>
    <w:rsid w:val="00555A1D"/>
    <w:rsid w:val="005604DA"/>
    <w:rsid w:val="005612E1"/>
    <w:rsid w:val="00562F93"/>
    <w:rsid w:val="00565A0E"/>
    <w:rsid w:val="00565A4B"/>
    <w:rsid w:val="0056645D"/>
    <w:rsid w:val="00566E7E"/>
    <w:rsid w:val="00570482"/>
    <w:rsid w:val="00570704"/>
    <w:rsid w:val="00570724"/>
    <w:rsid w:val="00570A4F"/>
    <w:rsid w:val="00573BE6"/>
    <w:rsid w:val="00582561"/>
    <w:rsid w:val="00582966"/>
    <w:rsid w:val="00583CCB"/>
    <w:rsid w:val="005849B6"/>
    <w:rsid w:val="00585572"/>
    <w:rsid w:val="00585883"/>
    <w:rsid w:val="00586068"/>
    <w:rsid w:val="00590B57"/>
    <w:rsid w:val="0059103F"/>
    <w:rsid w:val="005929CB"/>
    <w:rsid w:val="0059563A"/>
    <w:rsid w:val="00595983"/>
    <w:rsid w:val="00595A14"/>
    <w:rsid w:val="005A27E4"/>
    <w:rsid w:val="005A37D1"/>
    <w:rsid w:val="005A5A18"/>
    <w:rsid w:val="005B0B6A"/>
    <w:rsid w:val="005B1827"/>
    <w:rsid w:val="005B5A29"/>
    <w:rsid w:val="005B6A3C"/>
    <w:rsid w:val="005C7829"/>
    <w:rsid w:val="005D0E43"/>
    <w:rsid w:val="005D0F9D"/>
    <w:rsid w:val="005D347F"/>
    <w:rsid w:val="005E136D"/>
    <w:rsid w:val="005E1CE5"/>
    <w:rsid w:val="005E35A7"/>
    <w:rsid w:val="005E62A1"/>
    <w:rsid w:val="005E76F6"/>
    <w:rsid w:val="005F05FF"/>
    <w:rsid w:val="005F1D04"/>
    <w:rsid w:val="005F2E64"/>
    <w:rsid w:val="005F30F0"/>
    <w:rsid w:val="005F5236"/>
    <w:rsid w:val="006015E4"/>
    <w:rsid w:val="0060388D"/>
    <w:rsid w:val="006104A5"/>
    <w:rsid w:val="00610C92"/>
    <w:rsid w:val="00612CD7"/>
    <w:rsid w:val="006146B2"/>
    <w:rsid w:val="00616F85"/>
    <w:rsid w:val="0061799E"/>
    <w:rsid w:val="00627B96"/>
    <w:rsid w:val="006302E9"/>
    <w:rsid w:val="006309C8"/>
    <w:rsid w:val="006352E8"/>
    <w:rsid w:val="00636342"/>
    <w:rsid w:val="00637D3B"/>
    <w:rsid w:val="00646E95"/>
    <w:rsid w:val="00647037"/>
    <w:rsid w:val="006474C9"/>
    <w:rsid w:val="00651AB2"/>
    <w:rsid w:val="006520A6"/>
    <w:rsid w:val="0065276A"/>
    <w:rsid w:val="00653C8B"/>
    <w:rsid w:val="0065567F"/>
    <w:rsid w:val="006566EC"/>
    <w:rsid w:val="00656D5A"/>
    <w:rsid w:val="00661CA1"/>
    <w:rsid w:val="006622B1"/>
    <w:rsid w:val="0066368D"/>
    <w:rsid w:val="0066508A"/>
    <w:rsid w:val="00673D6A"/>
    <w:rsid w:val="0067460F"/>
    <w:rsid w:val="00680DD3"/>
    <w:rsid w:val="00681256"/>
    <w:rsid w:val="00682668"/>
    <w:rsid w:val="00684023"/>
    <w:rsid w:val="006845E4"/>
    <w:rsid w:val="00691E31"/>
    <w:rsid w:val="006961F1"/>
    <w:rsid w:val="006A2168"/>
    <w:rsid w:val="006A3DDC"/>
    <w:rsid w:val="006A7B19"/>
    <w:rsid w:val="006B3093"/>
    <w:rsid w:val="006B316F"/>
    <w:rsid w:val="006C073D"/>
    <w:rsid w:val="006C202A"/>
    <w:rsid w:val="006C3F4C"/>
    <w:rsid w:val="006C4058"/>
    <w:rsid w:val="006D76F5"/>
    <w:rsid w:val="006E1608"/>
    <w:rsid w:val="006E474F"/>
    <w:rsid w:val="006E5AC3"/>
    <w:rsid w:val="006E6976"/>
    <w:rsid w:val="006E6E76"/>
    <w:rsid w:val="006E7822"/>
    <w:rsid w:val="006F1AC5"/>
    <w:rsid w:val="006F2E39"/>
    <w:rsid w:val="006F3B9B"/>
    <w:rsid w:val="006F64CD"/>
    <w:rsid w:val="006F66EA"/>
    <w:rsid w:val="006F790C"/>
    <w:rsid w:val="00703A32"/>
    <w:rsid w:val="0070454F"/>
    <w:rsid w:val="007076F7"/>
    <w:rsid w:val="00710644"/>
    <w:rsid w:val="0071096E"/>
    <w:rsid w:val="00717E76"/>
    <w:rsid w:val="00724C7B"/>
    <w:rsid w:val="00725A0D"/>
    <w:rsid w:val="007267B1"/>
    <w:rsid w:val="0073027B"/>
    <w:rsid w:val="00731469"/>
    <w:rsid w:val="00732678"/>
    <w:rsid w:val="007339D3"/>
    <w:rsid w:val="00735842"/>
    <w:rsid w:val="00737AB8"/>
    <w:rsid w:val="00741842"/>
    <w:rsid w:val="00743EBE"/>
    <w:rsid w:val="00744467"/>
    <w:rsid w:val="007452DF"/>
    <w:rsid w:val="007453B5"/>
    <w:rsid w:val="007458AC"/>
    <w:rsid w:val="00745AAB"/>
    <w:rsid w:val="00757AC0"/>
    <w:rsid w:val="00760177"/>
    <w:rsid w:val="00760300"/>
    <w:rsid w:val="00764436"/>
    <w:rsid w:val="007646B3"/>
    <w:rsid w:val="00765A23"/>
    <w:rsid w:val="00766629"/>
    <w:rsid w:val="007675A1"/>
    <w:rsid w:val="00767B91"/>
    <w:rsid w:val="0077129E"/>
    <w:rsid w:val="0077169C"/>
    <w:rsid w:val="007719BB"/>
    <w:rsid w:val="0078024E"/>
    <w:rsid w:val="00780714"/>
    <w:rsid w:val="0078668C"/>
    <w:rsid w:val="007938B6"/>
    <w:rsid w:val="007961C2"/>
    <w:rsid w:val="0079760A"/>
    <w:rsid w:val="007A020A"/>
    <w:rsid w:val="007A05FB"/>
    <w:rsid w:val="007A15C4"/>
    <w:rsid w:val="007A31A4"/>
    <w:rsid w:val="007A799B"/>
    <w:rsid w:val="007B2C45"/>
    <w:rsid w:val="007B2F4F"/>
    <w:rsid w:val="007C1B81"/>
    <w:rsid w:val="007C2802"/>
    <w:rsid w:val="007C54AA"/>
    <w:rsid w:val="007C5814"/>
    <w:rsid w:val="007C616A"/>
    <w:rsid w:val="007C6D2A"/>
    <w:rsid w:val="007C71ED"/>
    <w:rsid w:val="007D1358"/>
    <w:rsid w:val="007D142E"/>
    <w:rsid w:val="007D31E4"/>
    <w:rsid w:val="007D43B4"/>
    <w:rsid w:val="007D60B5"/>
    <w:rsid w:val="007D65C1"/>
    <w:rsid w:val="007D7A1C"/>
    <w:rsid w:val="007D7FB0"/>
    <w:rsid w:val="007E0AF4"/>
    <w:rsid w:val="007E4731"/>
    <w:rsid w:val="007E56ED"/>
    <w:rsid w:val="007E59E3"/>
    <w:rsid w:val="007E64D1"/>
    <w:rsid w:val="007F26E0"/>
    <w:rsid w:val="007F5EF7"/>
    <w:rsid w:val="008015F5"/>
    <w:rsid w:val="00802784"/>
    <w:rsid w:val="00814B2F"/>
    <w:rsid w:val="00815C0C"/>
    <w:rsid w:val="0081699B"/>
    <w:rsid w:val="00825ABF"/>
    <w:rsid w:val="00825C58"/>
    <w:rsid w:val="0083043C"/>
    <w:rsid w:val="00831242"/>
    <w:rsid w:val="00835B41"/>
    <w:rsid w:val="0083737D"/>
    <w:rsid w:val="0083780E"/>
    <w:rsid w:val="00842690"/>
    <w:rsid w:val="0084547D"/>
    <w:rsid w:val="00846F17"/>
    <w:rsid w:val="00847D3F"/>
    <w:rsid w:val="00850B28"/>
    <w:rsid w:val="00852D64"/>
    <w:rsid w:val="00861BC2"/>
    <w:rsid w:val="008623B4"/>
    <w:rsid w:val="00862D47"/>
    <w:rsid w:val="0086308F"/>
    <w:rsid w:val="00867BB7"/>
    <w:rsid w:val="008704B3"/>
    <w:rsid w:val="00871226"/>
    <w:rsid w:val="00872279"/>
    <w:rsid w:val="00874A32"/>
    <w:rsid w:val="0087522C"/>
    <w:rsid w:val="00875AE9"/>
    <w:rsid w:val="00880F28"/>
    <w:rsid w:val="00887D9D"/>
    <w:rsid w:val="00895D7A"/>
    <w:rsid w:val="00896B49"/>
    <w:rsid w:val="008A1C00"/>
    <w:rsid w:val="008A1CBB"/>
    <w:rsid w:val="008A3DEE"/>
    <w:rsid w:val="008A52CE"/>
    <w:rsid w:val="008B09F3"/>
    <w:rsid w:val="008B0BCD"/>
    <w:rsid w:val="008B0F9A"/>
    <w:rsid w:val="008B3433"/>
    <w:rsid w:val="008B399E"/>
    <w:rsid w:val="008B405F"/>
    <w:rsid w:val="008D3613"/>
    <w:rsid w:val="008D68C0"/>
    <w:rsid w:val="008D6AAC"/>
    <w:rsid w:val="008E25AF"/>
    <w:rsid w:val="008E63CA"/>
    <w:rsid w:val="008E754F"/>
    <w:rsid w:val="008F2B29"/>
    <w:rsid w:val="008F3927"/>
    <w:rsid w:val="008F4F60"/>
    <w:rsid w:val="008F521F"/>
    <w:rsid w:val="0090126C"/>
    <w:rsid w:val="0090180D"/>
    <w:rsid w:val="00902E1C"/>
    <w:rsid w:val="009107D1"/>
    <w:rsid w:val="00912C3D"/>
    <w:rsid w:val="00921B0F"/>
    <w:rsid w:val="0092214A"/>
    <w:rsid w:val="009239CF"/>
    <w:rsid w:val="0092540F"/>
    <w:rsid w:val="00927158"/>
    <w:rsid w:val="00927A1F"/>
    <w:rsid w:val="00927F6E"/>
    <w:rsid w:val="00931486"/>
    <w:rsid w:val="00932AC8"/>
    <w:rsid w:val="00937628"/>
    <w:rsid w:val="0094064A"/>
    <w:rsid w:val="00941D25"/>
    <w:rsid w:val="0094409E"/>
    <w:rsid w:val="00944191"/>
    <w:rsid w:val="00945E73"/>
    <w:rsid w:val="00947E07"/>
    <w:rsid w:val="00950EEA"/>
    <w:rsid w:val="00951232"/>
    <w:rsid w:val="00952603"/>
    <w:rsid w:val="0095603E"/>
    <w:rsid w:val="0095762B"/>
    <w:rsid w:val="00960876"/>
    <w:rsid w:val="00966B98"/>
    <w:rsid w:val="00967C3F"/>
    <w:rsid w:val="0097301C"/>
    <w:rsid w:val="00973BA3"/>
    <w:rsid w:val="009748C8"/>
    <w:rsid w:val="00974B15"/>
    <w:rsid w:val="00974ED5"/>
    <w:rsid w:val="00976AB6"/>
    <w:rsid w:val="00982739"/>
    <w:rsid w:val="009837DE"/>
    <w:rsid w:val="00985A4A"/>
    <w:rsid w:val="00986B2A"/>
    <w:rsid w:val="00987548"/>
    <w:rsid w:val="00991B6B"/>
    <w:rsid w:val="00992A8C"/>
    <w:rsid w:val="009931AD"/>
    <w:rsid w:val="009A04D7"/>
    <w:rsid w:val="009A2D66"/>
    <w:rsid w:val="009B2F67"/>
    <w:rsid w:val="009B31C8"/>
    <w:rsid w:val="009C0045"/>
    <w:rsid w:val="009C15D1"/>
    <w:rsid w:val="009D0C91"/>
    <w:rsid w:val="009D38CA"/>
    <w:rsid w:val="009E085D"/>
    <w:rsid w:val="009E174C"/>
    <w:rsid w:val="009E225A"/>
    <w:rsid w:val="009F1EFB"/>
    <w:rsid w:val="009F2B1F"/>
    <w:rsid w:val="009F33BA"/>
    <w:rsid w:val="009F4CEF"/>
    <w:rsid w:val="00A016B5"/>
    <w:rsid w:val="00A032A6"/>
    <w:rsid w:val="00A05490"/>
    <w:rsid w:val="00A07A47"/>
    <w:rsid w:val="00A1094B"/>
    <w:rsid w:val="00A148F9"/>
    <w:rsid w:val="00A163CA"/>
    <w:rsid w:val="00A17B48"/>
    <w:rsid w:val="00A21569"/>
    <w:rsid w:val="00A21CE7"/>
    <w:rsid w:val="00A262F2"/>
    <w:rsid w:val="00A3305E"/>
    <w:rsid w:val="00A34A5F"/>
    <w:rsid w:val="00A34C7B"/>
    <w:rsid w:val="00A36873"/>
    <w:rsid w:val="00A412C3"/>
    <w:rsid w:val="00A45023"/>
    <w:rsid w:val="00A4515E"/>
    <w:rsid w:val="00A451F7"/>
    <w:rsid w:val="00A468E5"/>
    <w:rsid w:val="00A5090D"/>
    <w:rsid w:val="00A50A5D"/>
    <w:rsid w:val="00A51EC4"/>
    <w:rsid w:val="00A54CB3"/>
    <w:rsid w:val="00A54D6D"/>
    <w:rsid w:val="00A55945"/>
    <w:rsid w:val="00A642CA"/>
    <w:rsid w:val="00A73F12"/>
    <w:rsid w:val="00A7486A"/>
    <w:rsid w:val="00A75A2E"/>
    <w:rsid w:val="00A76380"/>
    <w:rsid w:val="00A8186C"/>
    <w:rsid w:val="00A84775"/>
    <w:rsid w:val="00A84794"/>
    <w:rsid w:val="00A84EBA"/>
    <w:rsid w:val="00A874BD"/>
    <w:rsid w:val="00A87E52"/>
    <w:rsid w:val="00A919CF"/>
    <w:rsid w:val="00A945B0"/>
    <w:rsid w:val="00A94C22"/>
    <w:rsid w:val="00A960D7"/>
    <w:rsid w:val="00AA14FD"/>
    <w:rsid w:val="00AA1A01"/>
    <w:rsid w:val="00AA1C6B"/>
    <w:rsid w:val="00AA317C"/>
    <w:rsid w:val="00AA383D"/>
    <w:rsid w:val="00AA4D95"/>
    <w:rsid w:val="00AA6188"/>
    <w:rsid w:val="00AA672B"/>
    <w:rsid w:val="00AB126B"/>
    <w:rsid w:val="00AB20DD"/>
    <w:rsid w:val="00AB2B40"/>
    <w:rsid w:val="00AB3770"/>
    <w:rsid w:val="00AB48F2"/>
    <w:rsid w:val="00AB4CA1"/>
    <w:rsid w:val="00AB4DC9"/>
    <w:rsid w:val="00AC1457"/>
    <w:rsid w:val="00AC1C77"/>
    <w:rsid w:val="00AC5B23"/>
    <w:rsid w:val="00AC5EA3"/>
    <w:rsid w:val="00AC6D43"/>
    <w:rsid w:val="00AD0B7C"/>
    <w:rsid w:val="00AD381E"/>
    <w:rsid w:val="00AD478A"/>
    <w:rsid w:val="00AD4FD9"/>
    <w:rsid w:val="00AD581A"/>
    <w:rsid w:val="00AD671C"/>
    <w:rsid w:val="00AE2CE2"/>
    <w:rsid w:val="00AE510F"/>
    <w:rsid w:val="00AF3D8A"/>
    <w:rsid w:val="00AF3E1F"/>
    <w:rsid w:val="00B05753"/>
    <w:rsid w:val="00B0583C"/>
    <w:rsid w:val="00B12CE9"/>
    <w:rsid w:val="00B139BB"/>
    <w:rsid w:val="00B14D03"/>
    <w:rsid w:val="00B224E3"/>
    <w:rsid w:val="00B25775"/>
    <w:rsid w:val="00B258C5"/>
    <w:rsid w:val="00B264E6"/>
    <w:rsid w:val="00B26962"/>
    <w:rsid w:val="00B307B4"/>
    <w:rsid w:val="00B30EC3"/>
    <w:rsid w:val="00B31FE8"/>
    <w:rsid w:val="00B3288D"/>
    <w:rsid w:val="00B32E1E"/>
    <w:rsid w:val="00B3317B"/>
    <w:rsid w:val="00B33D87"/>
    <w:rsid w:val="00B3573C"/>
    <w:rsid w:val="00B37D42"/>
    <w:rsid w:val="00B4026B"/>
    <w:rsid w:val="00B462EC"/>
    <w:rsid w:val="00B51E02"/>
    <w:rsid w:val="00B53A80"/>
    <w:rsid w:val="00B56625"/>
    <w:rsid w:val="00B760AE"/>
    <w:rsid w:val="00B83A97"/>
    <w:rsid w:val="00B85702"/>
    <w:rsid w:val="00B87012"/>
    <w:rsid w:val="00B9008A"/>
    <w:rsid w:val="00B92179"/>
    <w:rsid w:val="00B921DD"/>
    <w:rsid w:val="00B93858"/>
    <w:rsid w:val="00B942D7"/>
    <w:rsid w:val="00B96369"/>
    <w:rsid w:val="00B970E7"/>
    <w:rsid w:val="00B97BF0"/>
    <w:rsid w:val="00B97BFE"/>
    <w:rsid w:val="00BA302E"/>
    <w:rsid w:val="00BA5A21"/>
    <w:rsid w:val="00BA6CE7"/>
    <w:rsid w:val="00BB046A"/>
    <w:rsid w:val="00BB0AD4"/>
    <w:rsid w:val="00BB145C"/>
    <w:rsid w:val="00BB259F"/>
    <w:rsid w:val="00BC0F5D"/>
    <w:rsid w:val="00BC2A9D"/>
    <w:rsid w:val="00BC3C4E"/>
    <w:rsid w:val="00BC469E"/>
    <w:rsid w:val="00BD3B5F"/>
    <w:rsid w:val="00BD3BCD"/>
    <w:rsid w:val="00BD50AE"/>
    <w:rsid w:val="00BD6631"/>
    <w:rsid w:val="00BE0DCD"/>
    <w:rsid w:val="00BE2995"/>
    <w:rsid w:val="00BE2B89"/>
    <w:rsid w:val="00BE6B71"/>
    <w:rsid w:val="00BE6FA6"/>
    <w:rsid w:val="00BE7F7A"/>
    <w:rsid w:val="00BF1BBA"/>
    <w:rsid w:val="00BF2721"/>
    <w:rsid w:val="00BF42D7"/>
    <w:rsid w:val="00C00001"/>
    <w:rsid w:val="00C0019C"/>
    <w:rsid w:val="00C00CF1"/>
    <w:rsid w:val="00C04731"/>
    <w:rsid w:val="00C04BEF"/>
    <w:rsid w:val="00C10697"/>
    <w:rsid w:val="00C125D0"/>
    <w:rsid w:val="00C13C19"/>
    <w:rsid w:val="00C16EEF"/>
    <w:rsid w:val="00C17B7A"/>
    <w:rsid w:val="00C209EE"/>
    <w:rsid w:val="00C22BAD"/>
    <w:rsid w:val="00C23812"/>
    <w:rsid w:val="00C27854"/>
    <w:rsid w:val="00C374DA"/>
    <w:rsid w:val="00C408F9"/>
    <w:rsid w:val="00C42F36"/>
    <w:rsid w:val="00C43FB9"/>
    <w:rsid w:val="00C450B5"/>
    <w:rsid w:val="00C46459"/>
    <w:rsid w:val="00C501AA"/>
    <w:rsid w:val="00C50790"/>
    <w:rsid w:val="00C5228B"/>
    <w:rsid w:val="00C53EC1"/>
    <w:rsid w:val="00C5515A"/>
    <w:rsid w:val="00C562E4"/>
    <w:rsid w:val="00C60244"/>
    <w:rsid w:val="00C622D3"/>
    <w:rsid w:val="00C62662"/>
    <w:rsid w:val="00C64BC6"/>
    <w:rsid w:val="00C663DB"/>
    <w:rsid w:val="00C67171"/>
    <w:rsid w:val="00C67A1A"/>
    <w:rsid w:val="00C7383F"/>
    <w:rsid w:val="00C74CAE"/>
    <w:rsid w:val="00C74F34"/>
    <w:rsid w:val="00C847D3"/>
    <w:rsid w:val="00C879D3"/>
    <w:rsid w:val="00C90055"/>
    <w:rsid w:val="00C91DDE"/>
    <w:rsid w:val="00C92454"/>
    <w:rsid w:val="00C944BE"/>
    <w:rsid w:val="00CA044E"/>
    <w:rsid w:val="00CA19F5"/>
    <w:rsid w:val="00CA51DD"/>
    <w:rsid w:val="00CA5645"/>
    <w:rsid w:val="00CB0191"/>
    <w:rsid w:val="00CB1521"/>
    <w:rsid w:val="00CB24F3"/>
    <w:rsid w:val="00CB61F4"/>
    <w:rsid w:val="00CC21AC"/>
    <w:rsid w:val="00CC48A4"/>
    <w:rsid w:val="00CC758C"/>
    <w:rsid w:val="00CD25B8"/>
    <w:rsid w:val="00CE1CFA"/>
    <w:rsid w:val="00CE4973"/>
    <w:rsid w:val="00CF04B1"/>
    <w:rsid w:val="00CF1E25"/>
    <w:rsid w:val="00CF36E3"/>
    <w:rsid w:val="00CF66FD"/>
    <w:rsid w:val="00CF6D79"/>
    <w:rsid w:val="00CF73C5"/>
    <w:rsid w:val="00D0034B"/>
    <w:rsid w:val="00D03A28"/>
    <w:rsid w:val="00D05B82"/>
    <w:rsid w:val="00D07C0D"/>
    <w:rsid w:val="00D1004D"/>
    <w:rsid w:val="00D17F35"/>
    <w:rsid w:val="00D20BD6"/>
    <w:rsid w:val="00D22EE3"/>
    <w:rsid w:val="00D305F1"/>
    <w:rsid w:val="00D336C1"/>
    <w:rsid w:val="00D34583"/>
    <w:rsid w:val="00D35950"/>
    <w:rsid w:val="00D40EEC"/>
    <w:rsid w:val="00D45315"/>
    <w:rsid w:val="00D462E2"/>
    <w:rsid w:val="00D47E9F"/>
    <w:rsid w:val="00D50AF3"/>
    <w:rsid w:val="00D51B8F"/>
    <w:rsid w:val="00D53258"/>
    <w:rsid w:val="00D554B0"/>
    <w:rsid w:val="00D56087"/>
    <w:rsid w:val="00D62D66"/>
    <w:rsid w:val="00D646F3"/>
    <w:rsid w:val="00D72586"/>
    <w:rsid w:val="00D73759"/>
    <w:rsid w:val="00D73D03"/>
    <w:rsid w:val="00D76E70"/>
    <w:rsid w:val="00D84DC2"/>
    <w:rsid w:val="00D86EBD"/>
    <w:rsid w:val="00D90B1B"/>
    <w:rsid w:val="00D912E5"/>
    <w:rsid w:val="00D91530"/>
    <w:rsid w:val="00D9298E"/>
    <w:rsid w:val="00D973DD"/>
    <w:rsid w:val="00DA0B2A"/>
    <w:rsid w:val="00DA1CAC"/>
    <w:rsid w:val="00DA6170"/>
    <w:rsid w:val="00DA712D"/>
    <w:rsid w:val="00DA7780"/>
    <w:rsid w:val="00DB02C4"/>
    <w:rsid w:val="00DB6C79"/>
    <w:rsid w:val="00DC098C"/>
    <w:rsid w:val="00DC215F"/>
    <w:rsid w:val="00DC25E5"/>
    <w:rsid w:val="00DC2AF4"/>
    <w:rsid w:val="00DC2CB5"/>
    <w:rsid w:val="00DC3922"/>
    <w:rsid w:val="00DC45B2"/>
    <w:rsid w:val="00DC4966"/>
    <w:rsid w:val="00DC67A9"/>
    <w:rsid w:val="00DD761C"/>
    <w:rsid w:val="00DE0062"/>
    <w:rsid w:val="00DF101D"/>
    <w:rsid w:val="00DF1122"/>
    <w:rsid w:val="00DF4AE7"/>
    <w:rsid w:val="00DF5F00"/>
    <w:rsid w:val="00DF6EE3"/>
    <w:rsid w:val="00E0131E"/>
    <w:rsid w:val="00E01BF9"/>
    <w:rsid w:val="00E02F4D"/>
    <w:rsid w:val="00E0318E"/>
    <w:rsid w:val="00E112AF"/>
    <w:rsid w:val="00E13562"/>
    <w:rsid w:val="00E14B17"/>
    <w:rsid w:val="00E14F74"/>
    <w:rsid w:val="00E15090"/>
    <w:rsid w:val="00E2339B"/>
    <w:rsid w:val="00E25BB4"/>
    <w:rsid w:val="00E26CD4"/>
    <w:rsid w:val="00E33137"/>
    <w:rsid w:val="00E353C7"/>
    <w:rsid w:val="00E35BE7"/>
    <w:rsid w:val="00E36028"/>
    <w:rsid w:val="00E41FDA"/>
    <w:rsid w:val="00E42F1B"/>
    <w:rsid w:val="00E433FD"/>
    <w:rsid w:val="00E44B43"/>
    <w:rsid w:val="00E50AF9"/>
    <w:rsid w:val="00E52F60"/>
    <w:rsid w:val="00E563C8"/>
    <w:rsid w:val="00E62950"/>
    <w:rsid w:val="00E64718"/>
    <w:rsid w:val="00E64CFA"/>
    <w:rsid w:val="00E70603"/>
    <w:rsid w:val="00E71855"/>
    <w:rsid w:val="00E72B02"/>
    <w:rsid w:val="00E733BC"/>
    <w:rsid w:val="00E83CC9"/>
    <w:rsid w:val="00E83D6A"/>
    <w:rsid w:val="00E84D54"/>
    <w:rsid w:val="00E85B66"/>
    <w:rsid w:val="00E87A51"/>
    <w:rsid w:val="00E90657"/>
    <w:rsid w:val="00E91185"/>
    <w:rsid w:val="00E94792"/>
    <w:rsid w:val="00E94CEB"/>
    <w:rsid w:val="00E961B4"/>
    <w:rsid w:val="00E97397"/>
    <w:rsid w:val="00EA0C03"/>
    <w:rsid w:val="00EA195A"/>
    <w:rsid w:val="00EA202D"/>
    <w:rsid w:val="00EA4194"/>
    <w:rsid w:val="00EA5A24"/>
    <w:rsid w:val="00EA688B"/>
    <w:rsid w:val="00EB0B6C"/>
    <w:rsid w:val="00EB0FCD"/>
    <w:rsid w:val="00EB72AA"/>
    <w:rsid w:val="00EC09F5"/>
    <w:rsid w:val="00EC1B86"/>
    <w:rsid w:val="00EC1DEA"/>
    <w:rsid w:val="00EC267B"/>
    <w:rsid w:val="00EC4998"/>
    <w:rsid w:val="00EC671D"/>
    <w:rsid w:val="00ED1742"/>
    <w:rsid w:val="00ED1CA7"/>
    <w:rsid w:val="00ED46B5"/>
    <w:rsid w:val="00ED5844"/>
    <w:rsid w:val="00ED77BD"/>
    <w:rsid w:val="00EE049A"/>
    <w:rsid w:val="00EE546D"/>
    <w:rsid w:val="00EF0B9F"/>
    <w:rsid w:val="00EF489B"/>
    <w:rsid w:val="00EF4977"/>
    <w:rsid w:val="00EF530A"/>
    <w:rsid w:val="00EF6BC4"/>
    <w:rsid w:val="00EF7B5A"/>
    <w:rsid w:val="00F00BC0"/>
    <w:rsid w:val="00F02AFB"/>
    <w:rsid w:val="00F02B95"/>
    <w:rsid w:val="00F03A93"/>
    <w:rsid w:val="00F055A7"/>
    <w:rsid w:val="00F12913"/>
    <w:rsid w:val="00F14943"/>
    <w:rsid w:val="00F14C2F"/>
    <w:rsid w:val="00F15B82"/>
    <w:rsid w:val="00F16200"/>
    <w:rsid w:val="00F23B63"/>
    <w:rsid w:val="00F23CDC"/>
    <w:rsid w:val="00F3006F"/>
    <w:rsid w:val="00F32528"/>
    <w:rsid w:val="00F337ED"/>
    <w:rsid w:val="00F405C4"/>
    <w:rsid w:val="00F407FA"/>
    <w:rsid w:val="00F40B0B"/>
    <w:rsid w:val="00F40CB5"/>
    <w:rsid w:val="00F46456"/>
    <w:rsid w:val="00F51C0B"/>
    <w:rsid w:val="00F56234"/>
    <w:rsid w:val="00F609AB"/>
    <w:rsid w:val="00F61776"/>
    <w:rsid w:val="00F6560F"/>
    <w:rsid w:val="00F65B8C"/>
    <w:rsid w:val="00F6604C"/>
    <w:rsid w:val="00F66ADF"/>
    <w:rsid w:val="00F7097B"/>
    <w:rsid w:val="00F735FF"/>
    <w:rsid w:val="00F74814"/>
    <w:rsid w:val="00F75DC1"/>
    <w:rsid w:val="00F81B7A"/>
    <w:rsid w:val="00F838BD"/>
    <w:rsid w:val="00F878FB"/>
    <w:rsid w:val="00F93452"/>
    <w:rsid w:val="00FA5EAB"/>
    <w:rsid w:val="00FC1479"/>
    <w:rsid w:val="00FC2AD1"/>
    <w:rsid w:val="00FC72DB"/>
    <w:rsid w:val="00FD1949"/>
    <w:rsid w:val="00FD20A5"/>
    <w:rsid w:val="00FD2BB7"/>
    <w:rsid w:val="00FD3935"/>
    <w:rsid w:val="00FD62F2"/>
    <w:rsid w:val="00FE07AE"/>
    <w:rsid w:val="00FE08D0"/>
    <w:rsid w:val="00FE2643"/>
    <w:rsid w:val="00FE357D"/>
    <w:rsid w:val="00FE46B7"/>
    <w:rsid w:val="00FE512D"/>
    <w:rsid w:val="00FE5367"/>
    <w:rsid w:val="00FE55B0"/>
    <w:rsid w:val="00FF0669"/>
    <w:rsid w:val="00FF3B8D"/>
    <w:rsid w:val="00FF5E35"/>
    <w:rsid w:val="00FF62BD"/>
    <w:rsid w:val="1C8E6486"/>
    <w:rsid w:val="21E23DCD"/>
    <w:rsid w:val="39E44C22"/>
    <w:rsid w:val="54DD57AC"/>
    <w:rsid w:val="68860F8A"/>
    <w:rsid w:val="775D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F3F90E"/>
  <w15:docId w15:val="{21FAE9D2-0E39-4490-9241-10236E19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rPr>
      <w:b/>
      <w:bCs/>
      <w:kern w:val="44"/>
      <w:sz w:val="44"/>
      <w:szCs w:val="44"/>
    </w:rPr>
  </w:style>
  <w:style w:type="character" w:customStyle="1" w:styleId="a3">
    <w:name w:val="批注主题 字符"/>
    <w:link w:val="a4"/>
    <w:rPr>
      <w:b/>
      <w:bCs/>
      <w:kern w:val="2"/>
      <w:sz w:val="21"/>
      <w:szCs w:val="24"/>
    </w:rPr>
  </w:style>
  <w:style w:type="character" w:customStyle="1" w:styleId="a5">
    <w:name w:val="日期 字符"/>
    <w:link w:val="a6"/>
    <w:rPr>
      <w:kern w:val="2"/>
      <w:sz w:val="21"/>
      <w:szCs w:val="24"/>
    </w:rPr>
  </w:style>
  <w:style w:type="character" w:customStyle="1" w:styleId="con">
    <w:name w:val="con"/>
  </w:style>
  <w:style w:type="character" w:customStyle="1" w:styleId="12">
    <w:name w:val="未处理的提及1"/>
    <w:uiPriority w:val="99"/>
    <w:unhideWhenUsed/>
    <w:rPr>
      <w:color w:val="808080"/>
      <w:shd w:val="clear" w:color="auto" w:fill="E6E6E6"/>
    </w:rPr>
  </w:style>
  <w:style w:type="character" w:styleId="a7">
    <w:name w:val="FollowedHyperlink"/>
    <w:rPr>
      <w:color w:val="954F72"/>
      <w:u w:val="single"/>
    </w:rPr>
  </w:style>
  <w:style w:type="character" w:styleId="a8">
    <w:name w:val="Hyperlink"/>
    <w:rPr>
      <w:color w:val="0563C1"/>
      <w:u w:val="single"/>
    </w:rPr>
  </w:style>
  <w:style w:type="character" w:styleId="a9">
    <w:name w:val="annotation reference"/>
    <w:uiPriority w:val="99"/>
    <w:rPr>
      <w:sz w:val="21"/>
      <w:szCs w:val="21"/>
    </w:rPr>
  </w:style>
  <w:style w:type="character" w:customStyle="1" w:styleId="13">
    <w:name w:val="批注文字 字符1"/>
    <w:link w:val="aa"/>
    <w:rPr>
      <w:kern w:val="2"/>
      <w:sz w:val="21"/>
      <w:szCs w:val="24"/>
    </w:rPr>
  </w:style>
  <w:style w:type="character" w:customStyle="1" w:styleId="11">
    <w:name w:val="标题 1 字符1"/>
    <w:link w:val="1"/>
    <w:rPr>
      <w:b/>
      <w:bCs/>
      <w:kern w:val="44"/>
      <w:sz w:val="44"/>
      <w:szCs w:val="44"/>
    </w:rPr>
  </w:style>
  <w:style w:type="character" w:customStyle="1" w:styleId="ab">
    <w:name w:val="批注文字 字符"/>
    <w:uiPriority w:val="99"/>
    <w:rPr>
      <w:kern w:val="2"/>
      <w:sz w:val="21"/>
      <w:szCs w:val="24"/>
    </w:rPr>
  </w:style>
  <w:style w:type="character" w:customStyle="1" w:styleId="ac">
    <w:name w:val="页眉 字符"/>
    <w:link w:val="ad"/>
    <w:rPr>
      <w:kern w:val="2"/>
      <w:sz w:val="18"/>
      <w:szCs w:val="18"/>
    </w:rPr>
  </w:style>
  <w:style w:type="character" w:customStyle="1" w:styleId="ae">
    <w:name w:val="页脚 字符"/>
    <w:link w:val="af"/>
    <w:rPr>
      <w:kern w:val="2"/>
      <w:sz w:val="18"/>
      <w:szCs w:val="18"/>
    </w:rPr>
  </w:style>
  <w:style w:type="character" w:customStyle="1" w:styleId="af0">
    <w:name w:val="无间隔 字符"/>
    <w:link w:val="af1"/>
    <w:uiPriority w:val="1"/>
    <w:rPr>
      <w:rFonts w:ascii="Calibri" w:hAnsi="Calibri"/>
      <w:sz w:val="22"/>
      <w:szCs w:val="22"/>
    </w:rPr>
  </w:style>
  <w:style w:type="character" w:customStyle="1" w:styleId="af2">
    <w:name w:val="批注框文本 字符"/>
    <w:link w:val="af3"/>
    <w:rPr>
      <w:kern w:val="2"/>
      <w:sz w:val="18"/>
      <w:szCs w:val="18"/>
    </w:rPr>
  </w:style>
  <w:style w:type="paragraph" w:styleId="aa">
    <w:name w:val="annotation text"/>
    <w:basedOn w:val="a"/>
    <w:link w:val="13"/>
    <w:uiPriority w:val="99"/>
    <w:pPr>
      <w:jc w:val="left"/>
    </w:pPr>
  </w:style>
  <w:style w:type="paragraph" w:styleId="a4">
    <w:name w:val="annotation subject"/>
    <w:basedOn w:val="aa"/>
    <w:next w:val="aa"/>
    <w:link w:val="a3"/>
    <w:rPr>
      <w:b/>
      <w:bCs/>
    </w:rPr>
  </w:style>
  <w:style w:type="paragraph" w:styleId="a6">
    <w:name w:val="Date"/>
    <w:basedOn w:val="a"/>
    <w:next w:val="a"/>
    <w:link w:val="a5"/>
    <w:pPr>
      <w:ind w:leftChars="2500" w:left="100"/>
    </w:pPr>
  </w:style>
  <w:style w:type="paragraph" w:styleId="af3">
    <w:name w:val="Balloon Text"/>
    <w:basedOn w:val="a"/>
    <w:link w:val="af2"/>
    <w:rPr>
      <w:sz w:val="18"/>
      <w:szCs w:val="18"/>
    </w:rPr>
  </w:style>
  <w:style w:type="paragraph" w:styleId="af4">
    <w:name w:val="Normal (Web)"/>
    <w:basedOn w:val="a"/>
    <w:pPr>
      <w:widowControl/>
      <w:spacing w:before="100" w:beforeAutospacing="1" w:after="100" w:afterAutospacing="1"/>
      <w:jc w:val="left"/>
    </w:pPr>
    <w:rPr>
      <w:rFonts w:ascii="宋体" w:hAnsi="宋体" w:cs="宋体"/>
      <w:kern w:val="0"/>
      <w:sz w:val="24"/>
    </w:rPr>
  </w:style>
  <w:style w:type="paragraph" w:styleId="ad">
    <w:name w:val="header"/>
    <w:basedOn w:val="a"/>
    <w:link w:val="ac"/>
    <w:pPr>
      <w:pBdr>
        <w:bottom w:val="single" w:sz="6" w:space="1" w:color="auto"/>
      </w:pBdr>
      <w:tabs>
        <w:tab w:val="center" w:pos="4153"/>
        <w:tab w:val="right" w:pos="8306"/>
      </w:tabs>
      <w:snapToGrid w:val="0"/>
      <w:jc w:val="center"/>
    </w:pPr>
    <w:rPr>
      <w:sz w:val="18"/>
      <w:szCs w:val="18"/>
    </w:rPr>
  </w:style>
  <w:style w:type="paragraph" w:styleId="af">
    <w:name w:val="footer"/>
    <w:basedOn w:val="a"/>
    <w:link w:val="ae"/>
    <w:pPr>
      <w:tabs>
        <w:tab w:val="center" w:pos="4153"/>
        <w:tab w:val="right" w:pos="8306"/>
      </w:tabs>
      <w:snapToGrid w:val="0"/>
      <w:jc w:val="left"/>
    </w:pPr>
    <w:rPr>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f1">
    <w:name w:val="No Spacing"/>
    <w:link w:val="af0"/>
    <w:uiPriority w:val="1"/>
    <w:qFormat/>
    <w:rPr>
      <w:rFonts w:ascii="Calibri" w:hAnsi="Calibri"/>
      <w:sz w:val="22"/>
      <w:szCs w:val="22"/>
    </w:rPr>
  </w:style>
  <w:style w:type="paragraph" w:styleId="af5">
    <w:name w:val="List Paragraph"/>
    <w:basedOn w:val="a"/>
    <w:uiPriority w:val="34"/>
    <w:qFormat/>
    <w:pPr>
      <w:ind w:firstLineChars="200" w:firstLine="420"/>
    </w:pPr>
    <w:rPr>
      <w:rFonts w:ascii="Calibri" w:hAnsi="Calibri"/>
      <w:szCs w:val="22"/>
    </w:rPr>
  </w:style>
  <w:style w:type="table" w:styleId="af6">
    <w:name w:val="Table Grid"/>
    <w:basedOn w:val="a1"/>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a0"/>
    <w:rsid w:val="004C25F3"/>
    <w:rPr>
      <w:rFonts w:ascii="宋体" w:eastAsia="宋体" w:hAnsi="宋体"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696</Words>
  <Characters>3971</Characters>
  <Application>Microsoft Office Word</Application>
  <DocSecurity>0</DocSecurity>
  <Lines>33</Lines>
  <Paragraphs>9</Paragraphs>
  <ScaleCrop>false</ScaleCrop>
  <Company>Freedom</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股票代码：A股600663 B股：900932   股票简称：陆家嘴  陆家B股</dc:title>
  <dc:creator>.XBRL.</dc:creator>
  <cp:lastModifiedBy>胡 秉文</cp:lastModifiedBy>
  <cp:revision>2</cp:revision>
  <cp:lastPrinted>2020-04-29T02:18:00Z</cp:lastPrinted>
  <dcterms:created xsi:type="dcterms:W3CDTF">2020-04-29T02:25:00Z</dcterms:created>
  <dcterms:modified xsi:type="dcterms:W3CDTF">2020-04-29T02:25:00Z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