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DD6" w:rsidRPr="00616E84" w:rsidRDefault="00072DD6" w:rsidP="00626E3E">
      <w:pPr>
        <w:adjustRightInd w:val="0"/>
        <w:snapToGrid w:val="0"/>
        <w:spacing w:line="520" w:lineRule="atLeast"/>
        <w:rPr>
          <w:rFonts w:ascii="宋体" w:hAnsi="宋体"/>
          <w:szCs w:val="21"/>
        </w:rPr>
      </w:pPr>
      <w:r w:rsidRPr="00616E84">
        <w:rPr>
          <w:rFonts w:ascii="宋体" w:hAnsi="宋体" w:hint="eastAsia"/>
          <w:szCs w:val="21"/>
        </w:rPr>
        <w:t xml:space="preserve">股票代码：A股600663 B股900932   股票简称：陆家嘴  陆家B股 </w:t>
      </w:r>
      <w:r w:rsidR="0039691D" w:rsidRPr="00616E84">
        <w:rPr>
          <w:rFonts w:ascii="宋体" w:hAnsi="宋体"/>
          <w:szCs w:val="21"/>
        </w:rPr>
        <w:t xml:space="preserve"> </w:t>
      </w:r>
      <w:r w:rsidR="00616E84">
        <w:rPr>
          <w:rFonts w:ascii="宋体" w:hAnsi="宋体"/>
          <w:szCs w:val="21"/>
        </w:rPr>
        <w:t xml:space="preserve">    </w:t>
      </w:r>
      <w:r w:rsidRPr="00616E84">
        <w:rPr>
          <w:rFonts w:ascii="宋体" w:hAnsi="宋体" w:hint="eastAsia"/>
          <w:szCs w:val="21"/>
        </w:rPr>
        <w:t>编号：临</w:t>
      </w:r>
      <w:r w:rsidR="00C62A5F" w:rsidRPr="00616E84">
        <w:rPr>
          <w:rFonts w:ascii="宋体" w:hAnsi="宋体" w:hint="eastAsia"/>
          <w:szCs w:val="21"/>
        </w:rPr>
        <w:t>201</w:t>
      </w:r>
      <w:r w:rsidR="0039691D" w:rsidRPr="00616E84">
        <w:rPr>
          <w:rFonts w:ascii="宋体" w:hAnsi="宋体"/>
          <w:szCs w:val="21"/>
        </w:rPr>
        <w:t>9</w:t>
      </w:r>
      <w:r w:rsidR="00651283" w:rsidRPr="00616E84">
        <w:rPr>
          <w:rFonts w:ascii="宋体" w:hAnsi="宋体" w:hint="eastAsia"/>
          <w:szCs w:val="21"/>
        </w:rPr>
        <w:t>-</w:t>
      </w:r>
      <w:r w:rsidR="00394984" w:rsidRPr="00616E84">
        <w:rPr>
          <w:rFonts w:ascii="宋体" w:hAnsi="宋体" w:hint="eastAsia"/>
          <w:szCs w:val="21"/>
        </w:rPr>
        <w:t>0</w:t>
      </w:r>
      <w:r w:rsidR="0039691D" w:rsidRPr="00616E84">
        <w:rPr>
          <w:rFonts w:ascii="宋体" w:hAnsi="宋体"/>
          <w:szCs w:val="21"/>
        </w:rPr>
        <w:t>13</w:t>
      </w:r>
    </w:p>
    <w:p w:rsidR="007E7DB6" w:rsidRPr="00616E84" w:rsidRDefault="007E7DB6" w:rsidP="00626E3E">
      <w:pPr>
        <w:spacing w:line="520" w:lineRule="atLeast"/>
        <w:rPr>
          <w:rFonts w:ascii="宋体" w:hAnsi="宋体"/>
        </w:rPr>
      </w:pPr>
    </w:p>
    <w:p w:rsidR="00072DD6" w:rsidRPr="001B3CFA" w:rsidRDefault="00072DD6" w:rsidP="00626E3E">
      <w:pPr>
        <w:adjustRightInd w:val="0"/>
        <w:snapToGrid w:val="0"/>
        <w:spacing w:line="520" w:lineRule="atLeast"/>
        <w:ind w:left="357"/>
        <w:jc w:val="center"/>
        <w:rPr>
          <w:rFonts w:ascii="黑体" w:eastAsia="黑体" w:hAnsi="黑体"/>
          <w:b/>
          <w:color w:val="FF0000"/>
          <w:sz w:val="36"/>
          <w:szCs w:val="36"/>
        </w:rPr>
      </w:pPr>
      <w:r w:rsidRPr="001B3CFA">
        <w:rPr>
          <w:rFonts w:ascii="黑体" w:eastAsia="黑体" w:hAnsi="黑体" w:hint="eastAsia"/>
          <w:b/>
          <w:color w:val="FF0000"/>
          <w:sz w:val="36"/>
          <w:szCs w:val="36"/>
        </w:rPr>
        <w:t>上海陆家嘴金融贸易区开发股份有限公司</w:t>
      </w:r>
    </w:p>
    <w:p w:rsidR="00072DD6" w:rsidRPr="00B15305" w:rsidRDefault="003B79F8" w:rsidP="00626E3E">
      <w:pPr>
        <w:adjustRightInd w:val="0"/>
        <w:snapToGrid w:val="0"/>
        <w:spacing w:line="520" w:lineRule="atLeast"/>
        <w:ind w:left="357"/>
        <w:jc w:val="center"/>
        <w:rPr>
          <w:rFonts w:ascii="黑体" w:eastAsia="黑体" w:hAnsi="黑体"/>
          <w:color w:val="FF0000"/>
          <w:sz w:val="36"/>
          <w:szCs w:val="36"/>
        </w:rPr>
      </w:pPr>
      <w:r w:rsidRPr="00B15305">
        <w:rPr>
          <w:rFonts w:ascii="黑体" w:eastAsia="黑体" w:hAnsi="黑体" w:hint="eastAsia"/>
          <w:color w:val="FF0000"/>
          <w:sz w:val="36"/>
          <w:szCs w:val="36"/>
        </w:rPr>
        <w:t>关于接受控股股东委托贷款的</w:t>
      </w:r>
      <w:r w:rsidR="00072DD6" w:rsidRPr="00B15305">
        <w:rPr>
          <w:rFonts w:ascii="黑体" w:eastAsia="黑体" w:hAnsi="黑体" w:hint="eastAsia"/>
          <w:color w:val="FF0000"/>
          <w:sz w:val="36"/>
          <w:szCs w:val="36"/>
        </w:rPr>
        <w:t>关联交易公告</w:t>
      </w:r>
    </w:p>
    <w:p w:rsidR="001803CD" w:rsidRPr="00616E84" w:rsidRDefault="001803CD" w:rsidP="00626E3E">
      <w:pPr>
        <w:adjustRightInd w:val="0"/>
        <w:snapToGrid w:val="0"/>
        <w:spacing w:line="520" w:lineRule="atLeast"/>
        <w:ind w:firstLineChars="200" w:firstLine="482"/>
        <w:rPr>
          <w:rFonts w:ascii="宋体" w:hAnsi="宋体"/>
          <w:b/>
          <w:sz w:val="24"/>
        </w:rPr>
      </w:pPr>
    </w:p>
    <w:p w:rsidR="005B4399" w:rsidRPr="00616E84" w:rsidRDefault="00072DD6" w:rsidP="00626E3E">
      <w:pPr>
        <w:adjustRightInd w:val="0"/>
        <w:snapToGrid w:val="0"/>
        <w:spacing w:line="520" w:lineRule="atLeast"/>
        <w:ind w:firstLineChars="235" w:firstLine="566"/>
        <w:rPr>
          <w:rFonts w:ascii="宋体" w:hAnsi="宋体"/>
          <w:b/>
          <w:color w:val="000000"/>
          <w:sz w:val="24"/>
        </w:rPr>
      </w:pPr>
      <w:r w:rsidRPr="00616E84">
        <w:rPr>
          <w:rFonts w:ascii="宋体" w:hAnsi="宋体" w:hint="eastAsia"/>
          <w:b/>
          <w:sz w:val="24"/>
        </w:rPr>
        <w:t>本公司董事会及全体董事保证本公告内容不存在任何虚假记载、误导性陈述或者重大遗漏，并对其内容的真实性、准确性和完整性承担个别及连带责任。</w:t>
      </w:r>
    </w:p>
    <w:p w:rsidR="001803CD" w:rsidRPr="00616E84" w:rsidRDefault="001803CD" w:rsidP="00626E3E">
      <w:pPr>
        <w:adjustRightInd w:val="0"/>
        <w:snapToGrid w:val="0"/>
        <w:spacing w:line="520" w:lineRule="atLeast"/>
        <w:ind w:firstLineChars="235" w:firstLine="566"/>
        <w:rPr>
          <w:rFonts w:ascii="宋体" w:hAnsi="宋体"/>
          <w:b/>
          <w:color w:val="000000"/>
          <w:sz w:val="24"/>
        </w:rPr>
      </w:pPr>
    </w:p>
    <w:p w:rsidR="005B4399" w:rsidRPr="00616E84" w:rsidRDefault="00072DD6" w:rsidP="00626E3E">
      <w:pPr>
        <w:adjustRightInd w:val="0"/>
        <w:snapToGrid w:val="0"/>
        <w:spacing w:line="520" w:lineRule="atLeast"/>
        <w:ind w:leftChars="-1" w:left="-2" w:firstLineChars="235" w:firstLine="566"/>
        <w:rPr>
          <w:rFonts w:ascii="宋体" w:hAnsi="宋体"/>
          <w:b/>
          <w:color w:val="000000"/>
          <w:sz w:val="24"/>
        </w:rPr>
      </w:pPr>
      <w:r w:rsidRPr="00616E84">
        <w:rPr>
          <w:rFonts w:ascii="宋体" w:hAnsi="宋体" w:hint="eastAsia"/>
          <w:b/>
          <w:color w:val="000000"/>
          <w:sz w:val="24"/>
        </w:rPr>
        <w:t>重要内容提示：</w:t>
      </w:r>
    </w:p>
    <w:p w:rsidR="001803CD" w:rsidRDefault="00072DD6" w:rsidP="00551373">
      <w:pPr>
        <w:numPr>
          <w:ilvl w:val="0"/>
          <w:numId w:val="5"/>
        </w:numPr>
        <w:adjustRightInd w:val="0"/>
        <w:snapToGrid w:val="0"/>
        <w:spacing w:line="520" w:lineRule="atLeast"/>
        <w:ind w:left="0" w:firstLine="562"/>
        <w:rPr>
          <w:rFonts w:ascii="宋体" w:hAnsi="宋体"/>
          <w:color w:val="000000"/>
          <w:sz w:val="24"/>
        </w:rPr>
      </w:pPr>
      <w:r w:rsidRPr="00616E84">
        <w:rPr>
          <w:rFonts w:ascii="宋体" w:hAnsi="宋体" w:hint="eastAsia"/>
          <w:color w:val="000000"/>
          <w:sz w:val="24"/>
        </w:rPr>
        <w:t>交易内容：</w:t>
      </w:r>
      <w:r w:rsidR="00551373">
        <w:rPr>
          <w:rFonts w:ascii="宋体" w:hAnsi="宋体" w:hint="eastAsia"/>
          <w:color w:val="000000"/>
          <w:sz w:val="24"/>
        </w:rPr>
        <w:t>上海陆家嘴金融贸易区开发股份有限公司（以下简称“公司”）</w:t>
      </w:r>
      <w:r w:rsidR="00B977BB" w:rsidRPr="00616E84">
        <w:rPr>
          <w:rFonts w:ascii="宋体" w:hAnsi="宋体" w:hint="eastAsia"/>
          <w:color w:val="000000"/>
          <w:sz w:val="24"/>
        </w:rPr>
        <w:t>及其全资和控股子公司</w:t>
      </w:r>
      <w:r w:rsidR="00F33049">
        <w:rPr>
          <w:rFonts w:ascii="宋体" w:hAnsi="宋体" w:hint="eastAsia"/>
          <w:color w:val="000000"/>
          <w:sz w:val="24"/>
        </w:rPr>
        <w:t>计划</w:t>
      </w:r>
      <w:r w:rsidR="007473F2" w:rsidRPr="00616E84">
        <w:rPr>
          <w:rFonts w:ascii="宋体" w:hAnsi="宋体" w:hint="eastAsia"/>
          <w:color w:val="000000"/>
          <w:sz w:val="24"/>
        </w:rPr>
        <w:t>接受</w:t>
      </w:r>
      <w:r w:rsidR="00AD37D4" w:rsidRPr="00616E84">
        <w:rPr>
          <w:rFonts w:ascii="宋体" w:hAnsi="宋体" w:hint="eastAsia"/>
          <w:color w:val="000000"/>
          <w:sz w:val="24"/>
        </w:rPr>
        <w:t>控股股东</w:t>
      </w:r>
      <w:r w:rsidR="00881EFC" w:rsidRPr="00616E84">
        <w:rPr>
          <w:rFonts w:ascii="宋体" w:hAnsi="宋体" w:hint="eastAsia"/>
          <w:color w:val="000000"/>
          <w:sz w:val="24"/>
        </w:rPr>
        <w:t>—</w:t>
      </w:r>
      <w:r w:rsidR="007473F2" w:rsidRPr="00616E84">
        <w:rPr>
          <w:rFonts w:ascii="宋体" w:hAnsi="宋体" w:hint="eastAsia"/>
          <w:color w:val="000000"/>
          <w:sz w:val="24"/>
        </w:rPr>
        <w:t>上海陆家嘴（集团）有限公司</w:t>
      </w:r>
      <w:r w:rsidR="00551373">
        <w:rPr>
          <w:rFonts w:ascii="宋体" w:hAnsi="宋体" w:hint="eastAsia"/>
          <w:color w:val="000000"/>
          <w:sz w:val="24"/>
        </w:rPr>
        <w:t>（以下简称“陆家嘴集团”）</w:t>
      </w:r>
      <w:r w:rsidR="00B942C5" w:rsidRPr="00616E84">
        <w:rPr>
          <w:rFonts w:ascii="宋体" w:hAnsi="宋体" w:hint="eastAsia"/>
          <w:color w:val="000000"/>
          <w:sz w:val="24"/>
        </w:rPr>
        <w:t>余额不超过人民币</w:t>
      </w:r>
      <w:r w:rsidR="00CF4B34" w:rsidRPr="00616E84">
        <w:rPr>
          <w:rFonts w:ascii="宋体" w:hAnsi="宋体"/>
          <w:color w:val="000000"/>
          <w:sz w:val="24"/>
        </w:rPr>
        <w:t>120</w:t>
      </w:r>
      <w:r w:rsidR="00B942C5" w:rsidRPr="00616E84">
        <w:rPr>
          <w:rFonts w:ascii="宋体" w:hAnsi="宋体" w:hint="eastAsia"/>
          <w:color w:val="000000"/>
          <w:sz w:val="24"/>
        </w:rPr>
        <w:t>亿元</w:t>
      </w:r>
      <w:r w:rsidR="009109B9" w:rsidRPr="00616E84">
        <w:rPr>
          <w:rFonts w:ascii="宋体" w:hAnsi="宋体" w:hint="eastAsia"/>
          <w:color w:val="000000"/>
          <w:sz w:val="24"/>
        </w:rPr>
        <w:t>的贷款</w:t>
      </w:r>
      <w:r w:rsidR="007473F2" w:rsidRPr="00616E84">
        <w:rPr>
          <w:rFonts w:ascii="宋体" w:hAnsi="宋体" w:hint="eastAsia"/>
          <w:color w:val="000000"/>
          <w:sz w:val="24"/>
        </w:rPr>
        <w:t>。</w:t>
      </w:r>
    </w:p>
    <w:p w:rsidR="00551373" w:rsidRPr="00551373" w:rsidRDefault="00551373" w:rsidP="00551373">
      <w:pPr>
        <w:numPr>
          <w:ilvl w:val="0"/>
          <w:numId w:val="5"/>
        </w:numPr>
        <w:adjustRightInd w:val="0"/>
        <w:snapToGrid w:val="0"/>
        <w:spacing w:line="520" w:lineRule="atLeast"/>
        <w:ind w:left="0" w:firstLine="562"/>
        <w:rPr>
          <w:rFonts w:ascii="宋体" w:hAnsi="宋体"/>
          <w:color w:val="000000"/>
          <w:sz w:val="24"/>
        </w:rPr>
      </w:pPr>
      <w:r>
        <w:rPr>
          <w:rFonts w:ascii="宋体" w:hAnsi="宋体" w:hint="eastAsia"/>
          <w:color w:val="000000"/>
          <w:sz w:val="24"/>
        </w:rPr>
        <w:t>交易性质：本次交易构成关联交易，但不构成重大资产重组。</w:t>
      </w:r>
    </w:p>
    <w:p w:rsidR="00551373" w:rsidRPr="00551373" w:rsidRDefault="00551373" w:rsidP="00551373">
      <w:pPr>
        <w:numPr>
          <w:ilvl w:val="0"/>
          <w:numId w:val="5"/>
        </w:numPr>
        <w:adjustRightInd w:val="0"/>
        <w:snapToGrid w:val="0"/>
        <w:spacing w:line="520" w:lineRule="atLeast"/>
        <w:ind w:left="0" w:firstLine="562"/>
        <w:rPr>
          <w:rFonts w:ascii="宋体" w:hAnsi="宋体"/>
          <w:b/>
          <w:color w:val="000000"/>
          <w:sz w:val="24"/>
        </w:rPr>
      </w:pPr>
      <w:r w:rsidRPr="00855710">
        <w:rPr>
          <w:rFonts w:ascii="宋体" w:hAnsi="宋体" w:hint="eastAsia"/>
          <w:color w:val="000000"/>
          <w:sz w:val="24"/>
        </w:rPr>
        <w:t>审议程序：本次关联交易经公司第八届董事会审计委员会201</w:t>
      </w:r>
      <w:r w:rsidRPr="00855710">
        <w:rPr>
          <w:rFonts w:ascii="宋体" w:hAnsi="宋体"/>
          <w:color w:val="000000"/>
          <w:sz w:val="24"/>
        </w:rPr>
        <w:t>9</w:t>
      </w:r>
      <w:r w:rsidRPr="00855710">
        <w:rPr>
          <w:rFonts w:ascii="宋体" w:hAnsi="宋体" w:hint="eastAsia"/>
          <w:color w:val="000000"/>
          <w:sz w:val="24"/>
        </w:rPr>
        <w:t>年第二次会议及第八届董事会第四次会议审议通过，尚需提交股东大会审议。</w:t>
      </w:r>
    </w:p>
    <w:p w:rsidR="005E1289" w:rsidRPr="00616E84" w:rsidRDefault="00E2150A" w:rsidP="00551373">
      <w:pPr>
        <w:numPr>
          <w:ilvl w:val="0"/>
          <w:numId w:val="5"/>
        </w:numPr>
        <w:adjustRightInd w:val="0"/>
        <w:snapToGrid w:val="0"/>
        <w:spacing w:line="520" w:lineRule="atLeast"/>
        <w:ind w:left="0" w:firstLine="562"/>
        <w:rPr>
          <w:rFonts w:ascii="宋体" w:hAnsi="宋体"/>
          <w:b/>
          <w:color w:val="000000"/>
          <w:sz w:val="24"/>
        </w:rPr>
      </w:pPr>
      <w:r w:rsidRPr="00616E84">
        <w:rPr>
          <w:rFonts w:ascii="宋体" w:hAnsi="宋体" w:hint="eastAsia"/>
          <w:color w:val="000000"/>
          <w:sz w:val="24"/>
        </w:rPr>
        <w:t>关联交易回顾：</w:t>
      </w:r>
      <w:r w:rsidR="00551373" w:rsidRPr="00855710">
        <w:rPr>
          <w:rFonts w:ascii="宋体" w:hAnsi="宋体" w:hint="eastAsia"/>
          <w:sz w:val="24"/>
        </w:rPr>
        <w:t>过去12个月内，</w:t>
      </w:r>
      <w:r w:rsidR="00551373" w:rsidRPr="00855710">
        <w:rPr>
          <w:rFonts w:ascii="宋体" w:hAnsi="宋体"/>
          <w:sz w:val="24"/>
        </w:rPr>
        <w:t>公司及其控股子公司和</w:t>
      </w:r>
      <w:r w:rsidR="00551373">
        <w:rPr>
          <w:rFonts w:ascii="宋体" w:hAnsi="宋体" w:hint="eastAsia"/>
          <w:sz w:val="24"/>
        </w:rPr>
        <w:t>关联人</w:t>
      </w:r>
      <w:r w:rsidR="00551373" w:rsidRPr="00855710">
        <w:rPr>
          <w:rFonts w:ascii="宋体" w:hAnsi="宋体" w:hint="eastAsia"/>
          <w:sz w:val="24"/>
        </w:rPr>
        <w:t>陆家嘴集团之间</w:t>
      </w:r>
      <w:r w:rsidR="00551373" w:rsidRPr="00855710">
        <w:rPr>
          <w:rFonts w:ascii="宋体" w:hAnsi="宋体"/>
          <w:sz w:val="24"/>
        </w:rPr>
        <w:t>发生</w:t>
      </w:r>
      <w:r w:rsidR="00551373" w:rsidRPr="00855710">
        <w:rPr>
          <w:rFonts w:ascii="宋体" w:hAnsi="宋体" w:hint="eastAsia"/>
          <w:sz w:val="24"/>
        </w:rPr>
        <w:t>的</w:t>
      </w:r>
      <w:r w:rsidR="00551373" w:rsidRPr="00855710">
        <w:rPr>
          <w:rFonts w:ascii="宋体" w:hAnsi="宋体"/>
          <w:sz w:val="24"/>
        </w:rPr>
        <w:t>关联交易，详见后文。</w:t>
      </w:r>
    </w:p>
    <w:p w:rsidR="00A6027F" w:rsidRPr="00616E84" w:rsidRDefault="00A6027F" w:rsidP="00626E3E">
      <w:pPr>
        <w:adjustRightInd w:val="0"/>
        <w:snapToGrid w:val="0"/>
        <w:spacing w:line="520" w:lineRule="atLeast"/>
        <w:ind w:leftChars="-1" w:left="-2" w:firstLineChars="235" w:firstLine="566"/>
        <w:rPr>
          <w:rFonts w:ascii="宋体" w:hAnsi="宋体"/>
          <w:b/>
          <w:color w:val="000000"/>
          <w:sz w:val="24"/>
        </w:rPr>
      </w:pPr>
    </w:p>
    <w:p w:rsidR="00EA448B" w:rsidRPr="00616E84" w:rsidRDefault="00EA448B" w:rsidP="00626E3E">
      <w:pPr>
        <w:adjustRightInd w:val="0"/>
        <w:snapToGrid w:val="0"/>
        <w:spacing w:line="520" w:lineRule="atLeast"/>
        <w:ind w:leftChars="-1" w:left="-2" w:firstLineChars="235" w:firstLine="566"/>
        <w:rPr>
          <w:rFonts w:ascii="宋体" w:hAnsi="宋体"/>
          <w:b/>
          <w:color w:val="000000"/>
          <w:sz w:val="24"/>
        </w:rPr>
      </w:pPr>
      <w:r w:rsidRPr="00616E84">
        <w:rPr>
          <w:rFonts w:ascii="宋体" w:hAnsi="宋体" w:hint="eastAsia"/>
          <w:b/>
          <w:color w:val="000000"/>
          <w:sz w:val="24"/>
        </w:rPr>
        <w:t>一、关联交易概述</w:t>
      </w:r>
      <w:r w:rsidR="00D0024C" w:rsidRPr="00616E84">
        <w:rPr>
          <w:rFonts w:ascii="宋体" w:hAnsi="宋体" w:hint="eastAsia"/>
          <w:b/>
          <w:color w:val="000000"/>
          <w:sz w:val="24"/>
        </w:rPr>
        <w:t>。</w:t>
      </w:r>
    </w:p>
    <w:p w:rsidR="007473F2" w:rsidRPr="00616E84" w:rsidRDefault="003C3E89" w:rsidP="00626E3E">
      <w:pPr>
        <w:snapToGrid w:val="0"/>
        <w:spacing w:line="520" w:lineRule="atLeast"/>
        <w:ind w:rightChars="12" w:right="25" w:firstLine="556"/>
        <w:rPr>
          <w:rFonts w:ascii="宋体" w:hAnsi="宋体"/>
          <w:color w:val="000000"/>
          <w:sz w:val="24"/>
        </w:rPr>
      </w:pPr>
      <w:r w:rsidRPr="00616E84">
        <w:rPr>
          <w:rFonts w:ascii="宋体" w:hAnsi="宋体" w:hint="eastAsia"/>
          <w:color w:val="000000"/>
          <w:sz w:val="24"/>
        </w:rPr>
        <w:t>公司及其全资和控股子公司</w:t>
      </w:r>
      <w:r w:rsidR="005D707A" w:rsidRPr="00616E84">
        <w:rPr>
          <w:rFonts w:ascii="宋体" w:hAnsi="宋体" w:hint="eastAsia"/>
          <w:color w:val="000000"/>
          <w:sz w:val="24"/>
        </w:rPr>
        <w:t>拟</w:t>
      </w:r>
      <w:r w:rsidR="007473F2" w:rsidRPr="00616E84">
        <w:rPr>
          <w:rFonts w:ascii="宋体" w:hAnsi="宋体" w:hint="eastAsia"/>
          <w:color w:val="000000"/>
          <w:sz w:val="24"/>
        </w:rPr>
        <w:t>在</w:t>
      </w:r>
      <w:r w:rsidR="00435335" w:rsidRPr="00616E84">
        <w:rPr>
          <w:rFonts w:ascii="宋体" w:hAnsi="宋体" w:hint="eastAsia"/>
          <w:color w:val="000000"/>
          <w:sz w:val="24"/>
        </w:rPr>
        <w:t>201</w:t>
      </w:r>
      <w:r w:rsidR="00CF4B34" w:rsidRPr="00616E84">
        <w:rPr>
          <w:rFonts w:ascii="宋体" w:hAnsi="宋体"/>
          <w:color w:val="000000"/>
          <w:sz w:val="24"/>
        </w:rPr>
        <w:t>9</w:t>
      </w:r>
      <w:r w:rsidR="007473F2" w:rsidRPr="00616E84">
        <w:rPr>
          <w:rFonts w:ascii="宋体" w:hAnsi="宋体" w:hint="eastAsia"/>
          <w:color w:val="000000"/>
          <w:sz w:val="24"/>
        </w:rPr>
        <w:t>年度融资总额内接受控股股东</w:t>
      </w:r>
      <w:r w:rsidR="008F4E80" w:rsidRPr="00616E84">
        <w:rPr>
          <w:rFonts w:ascii="宋体" w:hAnsi="宋体" w:hint="eastAsia"/>
          <w:color w:val="000000"/>
          <w:sz w:val="24"/>
        </w:rPr>
        <w:t>—</w:t>
      </w:r>
      <w:r w:rsidR="003101A1">
        <w:rPr>
          <w:rFonts w:ascii="宋体" w:hAnsi="宋体" w:hint="eastAsia"/>
          <w:color w:val="000000"/>
          <w:sz w:val="24"/>
        </w:rPr>
        <w:t>陆家嘴集团</w:t>
      </w:r>
      <w:r w:rsidR="00435335" w:rsidRPr="00616E84">
        <w:rPr>
          <w:rFonts w:ascii="宋体" w:hAnsi="宋体" w:hint="eastAsia"/>
          <w:color w:val="000000"/>
          <w:sz w:val="24"/>
        </w:rPr>
        <w:t>余额</w:t>
      </w:r>
      <w:r w:rsidR="007473F2" w:rsidRPr="00616E84">
        <w:rPr>
          <w:rFonts w:ascii="宋体" w:hAnsi="宋体" w:hint="eastAsia"/>
          <w:color w:val="000000"/>
          <w:sz w:val="24"/>
        </w:rPr>
        <w:t>不超过人民币</w:t>
      </w:r>
      <w:r w:rsidR="00CF4B34" w:rsidRPr="00616E84">
        <w:rPr>
          <w:rFonts w:ascii="宋体" w:hAnsi="宋体" w:hint="eastAsia"/>
          <w:color w:val="000000"/>
          <w:sz w:val="24"/>
        </w:rPr>
        <w:t>1</w:t>
      </w:r>
      <w:r w:rsidR="00CF4B34" w:rsidRPr="00616E84">
        <w:rPr>
          <w:rFonts w:ascii="宋体" w:hAnsi="宋体"/>
          <w:color w:val="000000"/>
          <w:sz w:val="24"/>
        </w:rPr>
        <w:t>20</w:t>
      </w:r>
      <w:r w:rsidR="007473F2" w:rsidRPr="00616E84">
        <w:rPr>
          <w:rFonts w:ascii="宋体" w:hAnsi="宋体" w:hint="eastAsia"/>
          <w:color w:val="000000"/>
          <w:sz w:val="24"/>
        </w:rPr>
        <w:t>亿元</w:t>
      </w:r>
      <w:r w:rsidR="009109B9" w:rsidRPr="00616E84">
        <w:rPr>
          <w:rFonts w:ascii="宋体" w:hAnsi="宋体" w:hint="eastAsia"/>
          <w:color w:val="000000"/>
          <w:sz w:val="24"/>
        </w:rPr>
        <w:t>的贷款</w:t>
      </w:r>
      <w:r w:rsidR="0075078F" w:rsidRPr="00616E84">
        <w:rPr>
          <w:rFonts w:ascii="宋体" w:hAnsi="宋体" w:hint="eastAsia"/>
          <w:color w:val="000000"/>
          <w:sz w:val="24"/>
        </w:rPr>
        <w:t>，</w:t>
      </w:r>
      <w:r w:rsidR="007473F2" w:rsidRPr="00616E84">
        <w:rPr>
          <w:rFonts w:ascii="宋体" w:hAnsi="宋体" w:hint="eastAsia"/>
          <w:color w:val="000000"/>
          <w:sz w:val="24"/>
        </w:rPr>
        <w:t>并在该额度内可以循环使用。</w:t>
      </w:r>
      <w:r w:rsidR="007F4E1A" w:rsidRPr="00616E84">
        <w:rPr>
          <w:rFonts w:ascii="宋体" w:hAnsi="宋体" w:hint="eastAsia"/>
          <w:color w:val="000000"/>
          <w:sz w:val="24"/>
        </w:rPr>
        <w:t>上述接受控股股东委托贷款的有效期为</w:t>
      </w:r>
      <w:r w:rsidR="00F204F6" w:rsidRPr="00616E84">
        <w:rPr>
          <w:rFonts w:ascii="宋体" w:hAnsi="宋体" w:hint="eastAsia"/>
          <w:color w:val="000000"/>
          <w:sz w:val="24"/>
        </w:rPr>
        <w:t>公司</w:t>
      </w:r>
      <w:r w:rsidR="007F4E1A" w:rsidRPr="00616E84">
        <w:rPr>
          <w:rFonts w:ascii="宋体" w:hAnsi="宋体" w:hint="eastAsia"/>
          <w:color w:val="000000"/>
          <w:sz w:val="24"/>
        </w:rPr>
        <w:t>201</w:t>
      </w:r>
      <w:r w:rsidR="00CF4B34" w:rsidRPr="00616E84">
        <w:rPr>
          <w:rFonts w:ascii="宋体" w:hAnsi="宋体"/>
          <w:color w:val="000000"/>
          <w:sz w:val="24"/>
        </w:rPr>
        <w:t>8</w:t>
      </w:r>
      <w:r w:rsidR="001344DC" w:rsidRPr="00616E84">
        <w:rPr>
          <w:rFonts w:ascii="宋体" w:hAnsi="宋体" w:hint="eastAsia"/>
          <w:color w:val="000000"/>
          <w:sz w:val="24"/>
        </w:rPr>
        <w:t>年</w:t>
      </w:r>
      <w:r w:rsidR="007F4E1A" w:rsidRPr="00616E84">
        <w:rPr>
          <w:rFonts w:ascii="宋体" w:hAnsi="宋体" w:hint="eastAsia"/>
          <w:color w:val="000000"/>
          <w:sz w:val="24"/>
        </w:rPr>
        <w:t>年度股东大会表决通过之日起至201</w:t>
      </w:r>
      <w:r w:rsidR="00CF4B34" w:rsidRPr="00616E84">
        <w:rPr>
          <w:rFonts w:ascii="宋体" w:hAnsi="宋体"/>
          <w:color w:val="000000"/>
          <w:sz w:val="24"/>
        </w:rPr>
        <w:t>9</w:t>
      </w:r>
      <w:r w:rsidR="001344DC" w:rsidRPr="00616E84">
        <w:rPr>
          <w:rFonts w:ascii="宋体" w:hAnsi="宋体" w:hint="eastAsia"/>
          <w:color w:val="000000"/>
          <w:sz w:val="24"/>
        </w:rPr>
        <w:t>年</w:t>
      </w:r>
      <w:r w:rsidR="007F4E1A" w:rsidRPr="00616E84">
        <w:rPr>
          <w:rFonts w:ascii="宋体" w:hAnsi="宋体" w:hint="eastAsia"/>
          <w:color w:val="000000"/>
          <w:sz w:val="24"/>
        </w:rPr>
        <w:t>年度股东大会召开前日。</w:t>
      </w:r>
    </w:p>
    <w:p w:rsidR="00F74893" w:rsidRPr="00616E84" w:rsidRDefault="00F74893" w:rsidP="00626E3E">
      <w:pPr>
        <w:snapToGrid w:val="0"/>
        <w:spacing w:line="520" w:lineRule="atLeast"/>
        <w:ind w:rightChars="12" w:right="25" w:firstLine="556"/>
        <w:rPr>
          <w:rFonts w:ascii="宋体" w:hAnsi="宋体"/>
          <w:color w:val="000000"/>
          <w:sz w:val="24"/>
        </w:rPr>
      </w:pPr>
      <w:r w:rsidRPr="00616E84">
        <w:rPr>
          <w:rFonts w:ascii="宋体" w:hAnsi="宋体" w:hint="eastAsia"/>
          <w:color w:val="000000"/>
          <w:sz w:val="24"/>
        </w:rPr>
        <w:t>鉴于</w:t>
      </w:r>
      <w:r w:rsidR="003101A1">
        <w:rPr>
          <w:rFonts w:ascii="宋体" w:hAnsi="宋体" w:hint="eastAsia"/>
          <w:color w:val="000000"/>
          <w:sz w:val="24"/>
        </w:rPr>
        <w:t>陆家嘴集团</w:t>
      </w:r>
      <w:r w:rsidR="00154138" w:rsidRPr="00616E84">
        <w:rPr>
          <w:rFonts w:ascii="宋体" w:hAnsi="宋体" w:hint="eastAsia"/>
          <w:color w:val="000000"/>
          <w:sz w:val="24"/>
        </w:rPr>
        <w:t>是本公司</w:t>
      </w:r>
      <w:r w:rsidR="00E9783D" w:rsidRPr="00616E84">
        <w:rPr>
          <w:rFonts w:ascii="宋体" w:hAnsi="宋体" w:hint="eastAsia"/>
          <w:color w:val="000000"/>
          <w:sz w:val="24"/>
        </w:rPr>
        <w:t>的控股</w:t>
      </w:r>
      <w:r w:rsidR="00154138" w:rsidRPr="00616E84">
        <w:rPr>
          <w:rFonts w:ascii="宋体" w:hAnsi="宋体" w:hint="eastAsia"/>
          <w:color w:val="000000"/>
          <w:sz w:val="24"/>
        </w:rPr>
        <w:t>股东</w:t>
      </w:r>
      <w:r w:rsidR="00E9783D" w:rsidRPr="00616E84">
        <w:rPr>
          <w:rFonts w:ascii="宋体" w:hAnsi="宋体" w:hint="eastAsia"/>
          <w:color w:val="000000"/>
          <w:sz w:val="24"/>
        </w:rPr>
        <w:t>，</w:t>
      </w:r>
      <w:r w:rsidRPr="00616E84">
        <w:rPr>
          <w:rFonts w:ascii="宋体" w:hAnsi="宋体" w:hint="eastAsia"/>
          <w:color w:val="000000"/>
          <w:sz w:val="24"/>
        </w:rPr>
        <w:t>根据《上海证券交易所股票上市规则》有关条款，上述交易</w:t>
      </w:r>
      <w:r w:rsidR="005D707A" w:rsidRPr="00616E84">
        <w:rPr>
          <w:rFonts w:ascii="宋体" w:hAnsi="宋体" w:hint="eastAsia"/>
          <w:color w:val="000000"/>
          <w:sz w:val="24"/>
        </w:rPr>
        <w:t>如实际发生则</w:t>
      </w:r>
      <w:r w:rsidRPr="00616E84">
        <w:rPr>
          <w:rFonts w:ascii="宋体" w:hAnsi="宋体" w:hint="eastAsia"/>
          <w:color w:val="000000"/>
          <w:sz w:val="24"/>
        </w:rPr>
        <w:t>构成关联交易。</w:t>
      </w:r>
    </w:p>
    <w:p w:rsidR="000B6C99" w:rsidRPr="00616E84" w:rsidRDefault="000B6C99" w:rsidP="00626E3E">
      <w:pPr>
        <w:snapToGrid w:val="0"/>
        <w:spacing w:line="520" w:lineRule="atLeast"/>
        <w:ind w:rightChars="12" w:right="25" w:firstLine="556"/>
        <w:rPr>
          <w:rFonts w:ascii="宋体" w:hAnsi="宋体"/>
          <w:color w:val="000000"/>
          <w:sz w:val="24"/>
        </w:rPr>
      </w:pPr>
    </w:p>
    <w:p w:rsidR="00F74893" w:rsidRPr="00616E84" w:rsidRDefault="00F74893" w:rsidP="00626E3E">
      <w:pPr>
        <w:adjustRightInd w:val="0"/>
        <w:snapToGrid w:val="0"/>
        <w:spacing w:line="520" w:lineRule="atLeast"/>
        <w:ind w:firstLineChars="200" w:firstLine="482"/>
        <w:rPr>
          <w:rFonts w:ascii="宋体" w:hAnsi="宋体"/>
          <w:b/>
          <w:color w:val="000000"/>
          <w:sz w:val="24"/>
        </w:rPr>
      </w:pPr>
      <w:r w:rsidRPr="00616E84">
        <w:rPr>
          <w:rFonts w:ascii="宋体" w:hAnsi="宋体" w:hint="eastAsia"/>
          <w:b/>
          <w:color w:val="000000"/>
          <w:sz w:val="24"/>
        </w:rPr>
        <w:lastRenderedPageBreak/>
        <w:t>二、关联方介绍</w:t>
      </w:r>
      <w:r w:rsidR="00D0024C" w:rsidRPr="00616E84">
        <w:rPr>
          <w:rFonts w:ascii="宋体" w:hAnsi="宋体" w:hint="eastAsia"/>
          <w:b/>
          <w:color w:val="000000"/>
          <w:sz w:val="24"/>
        </w:rPr>
        <w:t>。</w:t>
      </w:r>
    </w:p>
    <w:p w:rsidR="00F74893" w:rsidRPr="00616E84" w:rsidRDefault="00F74893"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关联方名称：上海陆家嘴（集团）有限公司</w:t>
      </w:r>
    </w:p>
    <w:p w:rsidR="00F74893" w:rsidRPr="00616E84" w:rsidRDefault="007474C6"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注册号/统一社会信用代码</w:t>
      </w:r>
      <w:r w:rsidR="00F74893" w:rsidRPr="00616E84">
        <w:rPr>
          <w:rFonts w:ascii="宋体" w:hAnsi="宋体" w:hint="eastAsia"/>
          <w:color w:val="000000"/>
          <w:sz w:val="24"/>
        </w:rPr>
        <w:t>：</w:t>
      </w:r>
      <w:bookmarkStart w:id="0" w:name="OLE_LINK17"/>
      <w:bookmarkStart w:id="1" w:name="OLE_LINK18"/>
      <w:r w:rsidRPr="00616E84">
        <w:rPr>
          <w:rFonts w:ascii="宋体" w:hAnsi="宋体"/>
          <w:color w:val="000000"/>
          <w:sz w:val="24"/>
        </w:rPr>
        <w:t>91310000132206713C</w:t>
      </w:r>
      <w:bookmarkEnd w:id="0"/>
      <w:bookmarkEnd w:id="1"/>
    </w:p>
    <w:p w:rsidR="007474C6" w:rsidRPr="00616E84" w:rsidRDefault="00F74893"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住所：</w:t>
      </w:r>
      <w:r w:rsidR="008F4E80" w:rsidRPr="00616E84">
        <w:rPr>
          <w:rFonts w:ascii="宋体" w:hAnsi="宋体" w:hint="eastAsia"/>
          <w:color w:val="000000"/>
          <w:sz w:val="24"/>
        </w:rPr>
        <w:t>中国（上海）自由贸易试验区</w:t>
      </w:r>
      <w:r w:rsidR="007474C6" w:rsidRPr="00616E84">
        <w:rPr>
          <w:rFonts w:ascii="宋体" w:hAnsi="宋体" w:hint="eastAsia"/>
          <w:color w:val="000000"/>
          <w:sz w:val="24"/>
        </w:rPr>
        <w:t>浦东大道981号</w:t>
      </w:r>
    </w:p>
    <w:p w:rsidR="00F74893" w:rsidRPr="00616E84" w:rsidRDefault="00F74893"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法定代表人：</w:t>
      </w:r>
      <w:r w:rsidR="007474C6" w:rsidRPr="00616E84">
        <w:rPr>
          <w:rFonts w:ascii="宋体" w:hAnsi="宋体" w:hint="eastAsia"/>
          <w:color w:val="000000"/>
          <w:sz w:val="24"/>
        </w:rPr>
        <w:t>李晋昭</w:t>
      </w:r>
    </w:p>
    <w:p w:rsidR="00F74893" w:rsidRPr="00616E84" w:rsidRDefault="00F74893"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注册资本：</w:t>
      </w:r>
      <w:r w:rsidR="00272868" w:rsidRPr="00616E84">
        <w:rPr>
          <w:rFonts w:ascii="宋体" w:hAnsi="宋体" w:hint="eastAsia"/>
          <w:color w:val="000000"/>
          <w:sz w:val="24"/>
        </w:rPr>
        <w:t>人民币</w:t>
      </w:r>
      <w:r w:rsidR="006206AE" w:rsidRPr="00616E84">
        <w:rPr>
          <w:rFonts w:ascii="宋体" w:hAnsi="宋体" w:hint="eastAsia"/>
          <w:color w:val="000000"/>
          <w:sz w:val="24"/>
        </w:rPr>
        <w:t>235</w:t>
      </w:r>
      <w:r w:rsidR="00272868" w:rsidRPr="00616E84">
        <w:rPr>
          <w:rFonts w:ascii="宋体" w:hAnsi="宋体" w:hint="eastAsia"/>
          <w:color w:val="000000"/>
          <w:sz w:val="24"/>
        </w:rPr>
        <w:t>,</w:t>
      </w:r>
      <w:r w:rsidR="006206AE" w:rsidRPr="00616E84">
        <w:rPr>
          <w:rFonts w:ascii="宋体" w:hAnsi="宋体" w:hint="eastAsia"/>
          <w:color w:val="000000"/>
          <w:sz w:val="24"/>
        </w:rPr>
        <w:t>731万元</w:t>
      </w:r>
    </w:p>
    <w:p w:rsidR="00F74893" w:rsidRPr="00616E84" w:rsidRDefault="00F74893" w:rsidP="00626E3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公司类型：有限责任公司（国有独资）</w:t>
      </w:r>
    </w:p>
    <w:p w:rsidR="00F36906" w:rsidRPr="00616E84" w:rsidRDefault="00F74893" w:rsidP="008F4E80">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经营范围：</w:t>
      </w:r>
      <w:r w:rsidR="00833EC2" w:rsidRPr="00616E84">
        <w:rPr>
          <w:rFonts w:ascii="宋体" w:hAnsi="宋体" w:hint="eastAsia"/>
          <w:color w:val="000000"/>
          <w:sz w:val="24"/>
        </w:rPr>
        <w:t>房地产开发经营，市政基础设施，建设投资，投资咨询，实体投资，国内贸易（除专项规定），资产管理经营、信息。</w:t>
      </w:r>
    </w:p>
    <w:p w:rsidR="00A60FEC" w:rsidRPr="00616E84" w:rsidRDefault="00784613" w:rsidP="000D0CCE">
      <w:pPr>
        <w:snapToGrid w:val="0"/>
        <w:spacing w:line="520" w:lineRule="atLeast"/>
        <w:ind w:rightChars="12" w:right="25" w:firstLineChars="200" w:firstLine="480"/>
        <w:rPr>
          <w:rFonts w:ascii="宋体" w:hAnsi="宋体"/>
          <w:color w:val="000000"/>
          <w:sz w:val="24"/>
        </w:rPr>
      </w:pPr>
      <w:r w:rsidRPr="00616E84">
        <w:rPr>
          <w:rFonts w:ascii="宋体" w:hAnsi="宋体" w:hint="eastAsia"/>
          <w:color w:val="000000"/>
          <w:sz w:val="24"/>
        </w:rPr>
        <w:t>截至 201</w:t>
      </w:r>
      <w:r w:rsidRPr="00616E84">
        <w:rPr>
          <w:rFonts w:ascii="宋体" w:hAnsi="宋体"/>
          <w:color w:val="000000"/>
          <w:sz w:val="24"/>
        </w:rPr>
        <w:t>8</w:t>
      </w:r>
      <w:r w:rsidRPr="00616E84">
        <w:rPr>
          <w:rFonts w:ascii="宋体" w:hAnsi="宋体" w:hint="eastAsia"/>
          <w:color w:val="000000"/>
          <w:sz w:val="24"/>
        </w:rPr>
        <w:t>年末，</w:t>
      </w:r>
      <w:r w:rsidRPr="00616E84">
        <w:rPr>
          <w:rFonts w:ascii="宋体" w:hAnsi="宋体"/>
          <w:color w:val="000000"/>
          <w:sz w:val="24"/>
        </w:rPr>
        <w:t>上海陆家嘴（集团）有限公司</w:t>
      </w:r>
      <w:r w:rsidRPr="00616E84">
        <w:rPr>
          <w:rFonts w:ascii="宋体" w:hAnsi="宋体" w:hint="eastAsia"/>
          <w:color w:val="000000"/>
          <w:sz w:val="24"/>
        </w:rPr>
        <w:t>合并报表中的总资产为人民币</w:t>
      </w:r>
      <w:r w:rsidRPr="00616E84">
        <w:rPr>
          <w:rFonts w:ascii="宋体" w:hAnsi="宋体"/>
          <w:color w:val="000000"/>
          <w:sz w:val="24"/>
        </w:rPr>
        <w:t>14,344,083.84</w:t>
      </w:r>
      <w:r w:rsidRPr="00616E84">
        <w:rPr>
          <w:rFonts w:ascii="宋体" w:hAnsi="宋体" w:hint="eastAsia"/>
          <w:color w:val="000000"/>
          <w:sz w:val="24"/>
        </w:rPr>
        <w:t>万元，归属于母公司所有者权益合计为人民币</w:t>
      </w:r>
      <w:r w:rsidRPr="00616E84">
        <w:rPr>
          <w:rFonts w:ascii="宋体" w:hAnsi="宋体"/>
          <w:color w:val="000000"/>
          <w:sz w:val="24"/>
        </w:rPr>
        <w:t>2,465,524.30</w:t>
      </w:r>
      <w:r w:rsidRPr="00616E84">
        <w:rPr>
          <w:rFonts w:ascii="宋体" w:hAnsi="宋体" w:hint="eastAsia"/>
          <w:color w:val="000000"/>
          <w:sz w:val="24"/>
        </w:rPr>
        <w:t>万元，201</w:t>
      </w:r>
      <w:r w:rsidRPr="00616E84">
        <w:rPr>
          <w:rFonts w:ascii="宋体" w:hAnsi="宋体"/>
          <w:color w:val="000000"/>
          <w:sz w:val="24"/>
        </w:rPr>
        <w:t>8</w:t>
      </w:r>
      <w:r w:rsidRPr="00616E84">
        <w:rPr>
          <w:rFonts w:ascii="宋体" w:hAnsi="宋体" w:hint="eastAsia"/>
          <w:color w:val="000000"/>
          <w:sz w:val="24"/>
        </w:rPr>
        <w:t xml:space="preserve"> 年度营业总收入为人民币</w:t>
      </w:r>
      <w:r w:rsidRPr="00616E84">
        <w:rPr>
          <w:rFonts w:ascii="宋体" w:hAnsi="宋体"/>
          <w:color w:val="000000"/>
          <w:sz w:val="24"/>
        </w:rPr>
        <w:t>2,803,280.82</w:t>
      </w:r>
      <w:r w:rsidRPr="00616E84">
        <w:rPr>
          <w:rFonts w:ascii="宋体" w:hAnsi="宋体" w:hint="eastAsia"/>
          <w:color w:val="000000"/>
          <w:sz w:val="24"/>
        </w:rPr>
        <w:t>万元（未经审计）。</w:t>
      </w:r>
    </w:p>
    <w:p w:rsidR="000B6C99" w:rsidRPr="00616E84" w:rsidRDefault="000B6C99" w:rsidP="00626E3E">
      <w:pPr>
        <w:adjustRightInd w:val="0"/>
        <w:snapToGrid w:val="0"/>
        <w:spacing w:line="520" w:lineRule="atLeast"/>
        <w:ind w:firstLineChars="200" w:firstLine="482"/>
        <w:rPr>
          <w:rFonts w:ascii="宋体" w:hAnsi="宋体"/>
          <w:b/>
          <w:color w:val="000000"/>
          <w:sz w:val="24"/>
        </w:rPr>
      </w:pPr>
    </w:p>
    <w:p w:rsidR="000B6C99" w:rsidRPr="00616E84" w:rsidRDefault="00F74893" w:rsidP="00626E3E">
      <w:pPr>
        <w:adjustRightInd w:val="0"/>
        <w:snapToGrid w:val="0"/>
        <w:spacing w:line="520" w:lineRule="atLeast"/>
        <w:ind w:firstLineChars="200" w:firstLine="482"/>
        <w:rPr>
          <w:rFonts w:ascii="宋体" w:hAnsi="宋体"/>
          <w:color w:val="000000"/>
          <w:sz w:val="24"/>
        </w:rPr>
      </w:pPr>
      <w:r w:rsidRPr="00616E84">
        <w:rPr>
          <w:rFonts w:ascii="宋体" w:hAnsi="宋体" w:hint="eastAsia"/>
          <w:b/>
          <w:color w:val="000000"/>
          <w:sz w:val="24"/>
        </w:rPr>
        <w:t>三、关联交易标的基本情况</w:t>
      </w:r>
      <w:r w:rsidR="000B6C99" w:rsidRPr="00616E84">
        <w:rPr>
          <w:rFonts w:ascii="宋体" w:hAnsi="宋体" w:hint="eastAsia"/>
          <w:b/>
          <w:color w:val="000000"/>
          <w:sz w:val="24"/>
        </w:rPr>
        <w:t>。</w:t>
      </w:r>
    </w:p>
    <w:p w:rsidR="008F0C7E" w:rsidRPr="00616E84" w:rsidRDefault="008F0C7E" w:rsidP="00626E3E">
      <w:pPr>
        <w:adjustRightInd w:val="0"/>
        <w:snapToGrid w:val="0"/>
        <w:spacing w:line="520" w:lineRule="atLeast"/>
        <w:ind w:firstLineChars="200" w:firstLine="480"/>
        <w:rPr>
          <w:rFonts w:ascii="宋体" w:hAnsi="宋体"/>
          <w:color w:val="000000"/>
          <w:sz w:val="24"/>
        </w:rPr>
      </w:pPr>
      <w:r w:rsidRPr="00616E84">
        <w:rPr>
          <w:rFonts w:ascii="宋体" w:hAnsi="宋体"/>
          <w:color w:val="000000"/>
          <w:sz w:val="24"/>
        </w:rPr>
        <w:t>本次关联交易标的为</w:t>
      </w:r>
      <w:r w:rsidR="00845BFA" w:rsidRPr="00616E84">
        <w:rPr>
          <w:rFonts w:ascii="宋体" w:hAnsi="宋体"/>
          <w:color w:val="000000"/>
          <w:sz w:val="24"/>
        </w:rPr>
        <w:t>余额</w:t>
      </w:r>
      <w:r w:rsidR="00B42267" w:rsidRPr="00616E84">
        <w:rPr>
          <w:rFonts w:ascii="宋体" w:hAnsi="宋体" w:hint="eastAsia"/>
          <w:color w:val="000000"/>
          <w:sz w:val="24"/>
        </w:rPr>
        <w:t>不超过</w:t>
      </w:r>
      <w:r w:rsidRPr="00616E84">
        <w:rPr>
          <w:rFonts w:ascii="宋体" w:hAnsi="宋体"/>
          <w:color w:val="000000"/>
          <w:sz w:val="24"/>
        </w:rPr>
        <w:t>人民币</w:t>
      </w:r>
      <w:r w:rsidR="00CF4B34" w:rsidRPr="00616E84">
        <w:rPr>
          <w:rFonts w:ascii="宋体" w:hAnsi="宋体"/>
          <w:color w:val="000000"/>
          <w:sz w:val="24"/>
        </w:rPr>
        <w:t>120</w:t>
      </w:r>
      <w:r w:rsidR="00B42267" w:rsidRPr="00616E84">
        <w:rPr>
          <w:rFonts w:ascii="宋体" w:hAnsi="宋体" w:hint="eastAsia"/>
          <w:color w:val="000000"/>
          <w:sz w:val="24"/>
        </w:rPr>
        <w:t>亿</w:t>
      </w:r>
      <w:r w:rsidRPr="00616E84">
        <w:rPr>
          <w:rFonts w:ascii="宋体" w:hAnsi="宋体"/>
          <w:color w:val="000000"/>
          <w:sz w:val="24"/>
        </w:rPr>
        <w:t>元</w:t>
      </w:r>
      <w:r w:rsidR="00280A6C" w:rsidRPr="00616E84">
        <w:rPr>
          <w:rFonts w:ascii="宋体" w:hAnsi="宋体" w:hint="eastAsia"/>
          <w:color w:val="000000"/>
          <w:sz w:val="24"/>
        </w:rPr>
        <w:t>的贷款</w:t>
      </w:r>
      <w:r w:rsidRPr="00616E84">
        <w:rPr>
          <w:rFonts w:ascii="宋体" w:hAnsi="宋体"/>
          <w:color w:val="000000"/>
          <w:sz w:val="24"/>
        </w:rPr>
        <w:t>。</w:t>
      </w:r>
    </w:p>
    <w:p w:rsidR="000B6C99" w:rsidRPr="00616E84" w:rsidRDefault="000B6C99" w:rsidP="00626E3E">
      <w:pPr>
        <w:adjustRightInd w:val="0"/>
        <w:snapToGrid w:val="0"/>
        <w:spacing w:line="520" w:lineRule="atLeast"/>
        <w:ind w:firstLineChars="200" w:firstLine="480"/>
        <w:rPr>
          <w:rFonts w:ascii="宋体" w:hAnsi="宋体"/>
          <w:color w:val="000000"/>
          <w:sz w:val="24"/>
        </w:rPr>
      </w:pPr>
    </w:p>
    <w:p w:rsidR="00CF23AD" w:rsidRPr="00616E84" w:rsidRDefault="00CF23AD" w:rsidP="00626E3E">
      <w:pPr>
        <w:adjustRightInd w:val="0"/>
        <w:snapToGrid w:val="0"/>
        <w:spacing w:line="520" w:lineRule="atLeast"/>
        <w:ind w:firstLineChars="200" w:firstLine="482"/>
        <w:rPr>
          <w:rFonts w:ascii="宋体" w:hAnsi="宋体"/>
          <w:color w:val="000000"/>
          <w:sz w:val="24"/>
        </w:rPr>
      </w:pPr>
      <w:r w:rsidRPr="00616E84">
        <w:rPr>
          <w:rFonts w:ascii="宋体" w:hAnsi="宋体" w:hint="eastAsia"/>
          <w:b/>
          <w:color w:val="000000"/>
          <w:sz w:val="24"/>
        </w:rPr>
        <w:t>四、关联交易的定价依据。</w:t>
      </w:r>
    </w:p>
    <w:p w:rsidR="00D01014" w:rsidRPr="00616E84" w:rsidRDefault="00CF23AD" w:rsidP="00626E3E">
      <w:pPr>
        <w:snapToGrid w:val="0"/>
        <w:spacing w:line="520" w:lineRule="atLeast"/>
        <w:ind w:rightChars="12" w:right="25" w:firstLine="556"/>
        <w:rPr>
          <w:rFonts w:ascii="宋体" w:hAnsi="宋体"/>
          <w:color w:val="000000"/>
          <w:sz w:val="24"/>
        </w:rPr>
      </w:pPr>
      <w:r w:rsidRPr="00616E84">
        <w:rPr>
          <w:rFonts w:ascii="宋体" w:hAnsi="宋体" w:hint="eastAsia"/>
          <w:color w:val="000000"/>
          <w:sz w:val="24"/>
        </w:rPr>
        <w:t>本次委托贷款</w:t>
      </w:r>
      <w:r w:rsidR="009F001E" w:rsidRPr="00616E84">
        <w:rPr>
          <w:rFonts w:ascii="宋体" w:hAnsi="宋体" w:hint="eastAsia"/>
          <w:color w:val="000000"/>
          <w:sz w:val="24"/>
        </w:rPr>
        <w:t>余额</w:t>
      </w:r>
      <w:r w:rsidR="000129BC" w:rsidRPr="00616E84">
        <w:rPr>
          <w:rFonts w:ascii="宋体" w:hAnsi="宋体"/>
          <w:color w:val="000000"/>
          <w:sz w:val="24"/>
        </w:rPr>
        <w:t>在</w:t>
      </w:r>
      <w:r w:rsidRPr="00616E84">
        <w:rPr>
          <w:rFonts w:ascii="宋体" w:hAnsi="宋体" w:hint="eastAsia"/>
          <w:color w:val="000000"/>
          <w:sz w:val="24"/>
        </w:rPr>
        <w:t>201</w:t>
      </w:r>
      <w:r w:rsidR="000D0CCE" w:rsidRPr="00616E84">
        <w:rPr>
          <w:rFonts w:ascii="宋体" w:hAnsi="宋体"/>
          <w:color w:val="000000"/>
          <w:sz w:val="24"/>
        </w:rPr>
        <w:t>9</w:t>
      </w:r>
      <w:r w:rsidRPr="00616E84">
        <w:rPr>
          <w:rFonts w:ascii="宋体" w:hAnsi="宋体" w:hint="eastAsia"/>
          <w:color w:val="000000"/>
          <w:sz w:val="24"/>
        </w:rPr>
        <w:t>年度融资总额范围内（详见</w:t>
      </w:r>
      <w:r w:rsidR="00747790">
        <w:rPr>
          <w:rFonts w:ascii="宋体" w:hAnsi="宋体" w:hint="eastAsia"/>
          <w:color w:val="000000"/>
          <w:sz w:val="24"/>
        </w:rPr>
        <w:t>公告：</w:t>
      </w:r>
      <w:r w:rsidR="00FD154A" w:rsidRPr="00616E84">
        <w:rPr>
          <w:rFonts w:ascii="宋体" w:hAnsi="宋体" w:hint="eastAsia"/>
          <w:color w:val="000000"/>
          <w:sz w:val="24"/>
        </w:rPr>
        <w:t>临</w:t>
      </w:r>
      <w:r w:rsidRPr="00616E84">
        <w:rPr>
          <w:rFonts w:ascii="宋体" w:hAnsi="宋体" w:hint="eastAsia"/>
          <w:color w:val="000000"/>
          <w:sz w:val="24"/>
        </w:rPr>
        <w:t>201</w:t>
      </w:r>
      <w:r w:rsidR="00CF4B34" w:rsidRPr="00616E84">
        <w:rPr>
          <w:rFonts w:ascii="宋体" w:hAnsi="宋体"/>
          <w:color w:val="000000"/>
          <w:sz w:val="24"/>
        </w:rPr>
        <w:t>9</w:t>
      </w:r>
      <w:r w:rsidRPr="00616E84">
        <w:rPr>
          <w:rFonts w:ascii="宋体" w:hAnsi="宋体" w:hint="eastAsia"/>
          <w:color w:val="000000"/>
          <w:sz w:val="24"/>
        </w:rPr>
        <w:t>-</w:t>
      </w:r>
      <w:r w:rsidR="009F73E5" w:rsidRPr="00616E84">
        <w:rPr>
          <w:rFonts w:ascii="宋体" w:hAnsi="宋体" w:hint="eastAsia"/>
          <w:color w:val="000000"/>
          <w:sz w:val="24"/>
        </w:rPr>
        <w:t>0</w:t>
      </w:r>
      <w:r w:rsidR="00CF4B34" w:rsidRPr="00616E84">
        <w:rPr>
          <w:rFonts w:ascii="宋体" w:hAnsi="宋体"/>
          <w:color w:val="000000"/>
          <w:sz w:val="24"/>
        </w:rPr>
        <w:t>11</w:t>
      </w:r>
      <w:r w:rsidRPr="00616E84">
        <w:rPr>
          <w:rFonts w:ascii="宋体" w:hAnsi="宋体" w:hint="eastAsia"/>
          <w:color w:val="000000"/>
          <w:sz w:val="24"/>
        </w:rPr>
        <w:t>），</w:t>
      </w:r>
      <w:r w:rsidR="009F001E" w:rsidRPr="00616E84">
        <w:rPr>
          <w:rFonts w:ascii="宋体" w:hAnsi="宋体" w:hint="eastAsia"/>
          <w:color w:val="000000"/>
          <w:sz w:val="24"/>
        </w:rPr>
        <w:t>贷款利率</w:t>
      </w:r>
      <w:r w:rsidR="00F04864" w:rsidRPr="00616E84">
        <w:rPr>
          <w:rFonts w:ascii="宋体" w:hAnsi="宋体" w:hint="eastAsia"/>
          <w:color w:val="000000"/>
          <w:sz w:val="24"/>
        </w:rPr>
        <w:t>不高于商业银行同期同档次执行的贷款利率</w:t>
      </w:r>
      <w:r w:rsidRPr="00616E84">
        <w:rPr>
          <w:rFonts w:ascii="宋体" w:hAnsi="宋体" w:hint="eastAsia"/>
          <w:color w:val="000000"/>
          <w:sz w:val="24"/>
        </w:rPr>
        <w:t>，以双方最终签订合同为准。</w:t>
      </w:r>
    </w:p>
    <w:p w:rsidR="000B6C99" w:rsidRPr="00616E84" w:rsidRDefault="000B6C99" w:rsidP="00626E3E">
      <w:pPr>
        <w:snapToGrid w:val="0"/>
        <w:spacing w:line="520" w:lineRule="atLeast"/>
        <w:ind w:rightChars="12" w:right="25" w:firstLine="556"/>
        <w:rPr>
          <w:rFonts w:ascii="宋体" w:hAnsi="宋体"/>
          <w:color w:val="000000"/>
          <w:sz w:val="24"/>
        </w:rPr>
      </w:pPr>
    </w:p>
    <w:p w:rsidR="009474A4" w:rsidRPr="00616E84" w:rsidRDefault="00CF23AD" w:rsidP="00626E3E">
      <w:pPr>
        <w:adjustRightInd w:val="0"/>
        <w:snapToGrid w:val="0"/>
        <w:spacing w:line="520" w:lineRule="atLeast"/>
        <w:ind w:firstLineChars="200" w:firstLine="482"/>
        <w:rPr>
          <w:rFonts w:ascii="宋体" w:hAnsi="宋体"/>
          <w:b/>
          <w:color w:val="000000"/>
          <w:sz w:val="24"/>
        </w:rPr>
      </w:pPr>
      <w:r w:rsidRPr="00616E84">
        <w:rPr>
          <w:rFonts w:ascii="宋体" w:hAnsi="宋体" w:hint="eastAsia"/>
          <w:b/>
          <w:color w:val="000000"/>
          <w:sz w:val="24"/>
        </w:rPr>
        <w:t>五</w:t>
      </w:r>
      <w:r w:rsidR="009474A4" w:rsidRPr="00616E84">
        <w:rPr>
          <w:rFonts w:ascii="宋体" w:hAnsi="宋体" w:hint="eastAsia"/>
          <w:b/>
          <w:color w:val="000000"/>
          <w:sz w:val="24"/>
        </w:rPr>
        <w:t>、该关联交易的目的以及对本公司的影响</w:t>
      </w:r>
      <w:r w:rsidR="00D0024C" w:rsidRPr="00616E84">
        <w:rPr>
          <w:rFonts w:ascii="宋体" w:hAnsi="宋体" w:hint="eastAsia"/>
          <w:b/>
          <w:color w:val="000000"/>
          <w:sz w:val="24"/>
        </w:rPr>
        <w:t>。</w:t>
      </w:r>
    </w:p>
    <w:p w:rsidR="00172B4C" w:rsidRPr="00616E84" w:rsidRDefault="009474A4" w:rsidP="00626E3E">
      <w:pPr>
        <w:snapToGrid w:val="0"/>
        <w:spacing w:line="520" w:lineRule="atLeast"/>
        <w:ind w:rightChars="12" w:right="25" w:firstLine="556"/>
        <w:rPr>
          <w:rFonts w:ascii="宋体" w:hAnsi="宋体"/>
          <w:color w:val="000000"/>
          <w:sz w:val="24"/>
        </w:rPr>
      </w:pPr>
      <w:r w:rsidRPr="00616E84">
        <w:rPr>
          <w:rFonts w:ascii="宋体" w:hAnsi="宋体" w:hint="eastAsia"/>
          <w:color w:val="000000"/>
          <w:sz w:val="24"/>
        </w:rPr>
        <w:t>本次交易</w:t>
      </w:r>
      <w:r w:rsidR="007473F2" w:rsidRPr="00616E84">
        <w:rPr>
          <w:rFonts w:ascii="宋体" w:hAnsi="宋体"/>
          <w:color w:val="000000"/>
          <w:sz w:val="24"/>
        </w:rPr>
        <w:t>的目的是为了满足经营和项目建设的资金需求，公司</w:t>
      </w:r>
      <w:r w:rsidR="000129BC" w:rsidRPr="00616E84">
        <w:rPr>
          <w:rFonts w:ascii="宋体" w:hAnsi="宋体" w:hint="eastAsia"/>
          <w:color w:val="000000"/>
          <w:sz w:val="24"/>
        </w:rPr>
        <w:t>及其全资和控股子公司</w:t>
      </w:r>
      <w:r w:rsidR="007473F2" w:rsidRPr="00616E84">
        <w:rPr>
          <w:rFonts w:ascii="宋体" w:hAnsi="宋体"/>
          <w:color w:val="000000"/>
          <w:sz w:val="24"/>
        </w:rPr>
        <w:t>接受控股股东贷款</w:t>
      </w:r>
      <w:r w:rsidR="007473F2" w:rsidRPr="00616E84">
        <w:rPr>
          <w:rFonts w:ascii="宋体" w:hAnsi="宋体" w:hint="eastAsia"/>
          <w:color w:val="000000"/>
          <w:sz w:val="24"/>
        </w:rPr>
        <w:t>，</w:t>
      </w:r>
      <w:r w:rsidR="007473F2" w:rsidRPr="00616E84">
        <w:rPr>
          <w:rFonts w:ascii="宋体" w:hAnsi="宋体"/>
          <w:color w:val="000000"/>
          <w:sz w:val="24"/>
        </w:rPr>
        <w:t>方便快捷，符合</w:t>
      </w:r>
      <w:r w:rsidR="002B4B28" w:rsidRPr="00616E84">
        <w:rPr>
          <w:rFonts w:ascii="宋体" w:hAnsi="宋体" w:hint="eastAsia"/>
          <w:color w:val="000000"/>
          <w:sz w:val="24"/>
        </w:rPr>
        <w:t>有关法律、法规和公司章程的规定，符合证监会的监管要求，符合</w:t>
      </w:r>
      <w:r w:rsidR="007473F2" w:rsidRPr="00616E84">
        <w:rPr>
          <w:rFonts w:ascii="宋体" w:hAnsi="宋体"/>
          <w:color w:val="000000"/>
          <w:sz w:val="24"/>
        </w:rPr>
        <w:t>公司和全体股东的利益。</w:t>
      </w:r>
    </w:p>
    <w:p w:rsidR="000B6C99" w:rsidRPr="00616E84" w:rsidRDefault="000B6C99" w:rsidP="00626E3E">
      <w:pPr>
        <w:snapToGrid w:val="0"/>
        <w:spacing w:line="520" w:lineRule="atLeast"/>
        <w:ind w:rightChars="12" w:right="25" w:firstLine="556"/>
        <w:rPr>
          <w:rFonts w:ascii="宋体" w:hAnsi="宋体"/>
          <w:color w:val="000000"/>
          <w:sz w:val="24"/>
        </w:rPr>
      </w:pPr>
    </w:p>
    <w:p w:rsidR="007E1B5C" w:rsidRPr="00616E84" w:rsidRDefault="00CF23AD" w:rsidP="007E1B5C">
      <w:pPr>
        <w:adjustRightInd w:val="0"/>
        <w:snapToGrid w:val="0"/>
        <w:spacing w:line="520" w:lineRule="atLeast"/>
        <w:ind w:firstLineChars="200" w:firstLine="482"/>
        <w:rPr>
          <w:rFonts w:ascii="宋体" w:hAnsi="宋体"/>
          <w:color w:val="000000"/>
          <w:sz w:val="24"/>
        </w:rPr>
      </w:pPr>
      <w:r w:rsidRPr="00616E84">
        <w:rPr>
          <w:rFonts w:ascii="宋体" w:hAnsi="宋体" w:hint="eastAsia"/>
          <w:b/>
          <w:color w:val="000000"/>
          <w:sz w:val="24"/>
        </w:rPr>
        <w:t>六</w:t>
      </w:r>
      <w:r w:rsidR="00EB7334" w:rsidRPr="00616E84">
        <w:rPr>
          <w:rFonts w:ascii="宋体" w:hAnsi="宋体" w:hint="eastAsia"/>
          <w:b/>
          <w:color w:val="000000"/>
          <w:sz w:val="24"/>
        </w:rPr>
        <w:t>、该关联交易应当履行的审议程序</w:t>
      </w:r>
      <w:r w:rsidR="00D0024C" w:rsidRPr="00616E84">
        <w:rPr>
          <w:rFonts w:ascii="宋体" w:hAnsi="宋体" w:hint="eastAsia"/>
          <w:b/>
          <w:color w:val="000000"/>
          <w:sz w:val="24"/>
        </w:rPr>
        <w:t>。</w:t>
      </w:r>
    </w:p>
    <w:p w:rsidR="00C76929" w:rsidRPr="00616E84" w:rsidRDefault="00C76929" w:rsidP="007700AF">
      <w:pPr>
        <w:adjustRightInd w:val="0"/>
        <w:snapToGrid w:val="0"/>
        <w:spacing w:line="520" w:lineRule="atLeast"/>
        <w:ind w:firstLineChars="200" w:firstLine="480"/>
        <w:rPr>
          <w:rFonts w:ascii="宋体" w:hAnsi="宋体"/>
          <w:color w:val="000000"/>
          <w:sz w:val="24"/>
        </w:rPr>
      </w:pPr>
      <w:r w:rsidRPr="00616E84">
        <w:rPr>
          <w:rFonts w:ascii="宋体" w:hAnsi="宋体" w:hint="eastAsia"/>
          <w:color w:val="000000"/>
          <w:sz w:val="24"/>
        </w:rPr>
        <w:t>本次关联交易经公司</w:t>
      </w:r>
      <w:r w:rsidR="009E5AFB" w:rsidRPr="00616E84">
        <w:rPr>
          <w:rFonts w:ascii="宋体" w:hAnsi="宋体" w:hint="eastAsia"/>
          <w:color w:val="000000"/>
          <w:sz w:val="24"/>
        </w:rPr>
        <w:t>第</w:t>
      </w:r>
      <w:r w:rsidR="000D0CCE" w:rsidRPr="00616E84">
        <w:rPr>
          <w:rFonts w:ascii="宋体" w:hAnsi="宋体" w:hint="eastAsia"/>
          <w:color w:val="000000"/>
          <w:sz w:val="24"/>
        </w:rPr>
        <w:t>八</w:t>
      </w:r>
      <w:r w:rsidR="009E5AFB" w:rsidRPr="00616E84">
        <w:rPr>
          <w:rFonts w:ascii="宋体" w:hAnsi="宋体" w:hint="eastAsia"/>
          <w:color w:val="000000"/>
          <w:sz w:val="24"/>
        </w:rPr>
        <w:t>届董事会</w:t>
      </w:r>
      <w:r w:rsidRPr="00616E84">
        <w:rPr>
          <w:rFonts w:ascii="宋体" w:hAnsi="宋体" w:hint="eastAsia"/>
          <w:color w:val="000000"/>
          <w:sz w:val="24"/>
        </w:rPr>
        <w:t>审计委员会</w:t>
      </w:r>
      <w:r w:rsidR="00435335" w:rsidRPr="00616E84">
        <w:rPr>
          <w:rFonts w:ascii="宋体" w:hAnsi="宋体" w:hint="eastAsia"/>
          <w:color w:val="000000"/>
          <w:sz w:val="24"/>
        </w:rPr>
        <w:t>201</w:t>
      </w:r>
      <w:r w:rsidR="000D0CCE" w:rsidRPr="00616E84">
        <w:rPr>
          <w:rFonts w:ascii="宋体" w:hAnsi="宋体"/>
          <w:color w:val="000000"/>
          <w:sz w:val="24"/>
        </w:rPr>
        <w:t>9</w:t>
      </w:r>
      <w:r w:rsidR="00A15C7C" w:rsidRPr="00616E84">
        <w:rPr>
          <w:rFonts w:ascii="宋体" w:hAnsi="宋体" w:hint="eastAsia"/>
          <w:color w:val="000000"/>
          <w:sz w:val="24"/>
        </w:rPr>
        <w:t>年第二</w:t>
      </w:r>
      <w:r w:rsidRPr="00616E84">
        <w:rPr>
          <w:rFonts w:ascii="宋体" w:hAnsi="宋体" w:hint="eastAsia"/>
          <w:color w:val="000000"/>
          <w:sz w:val="24"/>
        </w:rPr>
        <w:t>次会议以及第</w:t>
      </w:r>
      <w:r w:rsidR="000D0CCE" w:rsidRPr="00616E84">
        <w:rPr>
          <w:rFonts w:ascii="宋体" w:hAnsi="宋体" w:hint="eastAsia"/>
          <w:color w:val="000000"/>
          <w:sz w:val="24"/>
        </w:rPr>
        <w:t>八</w:t>
      </w:r>
      <w:r w:rsidRPr="00616E84">
        <w:rPr>
          <w:rFonts w:ascii="宋体" w:hAnsi="宋体" w:hint="eastAsia"/>
          <w:color w:val="000000"/>
          <w:sz w:val="24"/>
        </w:rPr>
        <w:t>届董事会</w:t>
      </w:r>
      <w:r w:rsidR="0056300C" w:rsidRPr="00616E84">
        <w:rPr>
          <w:rFonts w:ascii="宋体" w:hAnsi="宋体" w:hint="eastAsia"/>
          <w:color w:val="000000"/>
          <w:sz w:val="24"/>
        </w:rPr>
        <w:t>第</w:t>
      </w:r>
      <w:r w:rsidR="000D0CCE" w:rsidRPr="00616E84">
        <w:rPr>
          <w:rFonts w:ascii="宋体" w:hAnsi="宋体" w:hint="eastAsia"/>
          <w:color w:val="000000"/>
          <w:sz w:val="24"/>
        </w:rPr>
        <w:t>四</w:t>
      </w:r>
      <w:r w:rsidR="0056300C" w:rsidRPr="00616E84">
        <w:rPr>
          <w:rFonts w:ascii="宋体" w:hAnsi="宋体" w:hint="eastAsia"/>
          <w:color w:val="000000"/>
          <w:sz w:val="24"/>
        </w:rPr>
        <w:t>次会议审议通过，其中</w:t>
      </w:r>
      <w:r w:rsidRPr="00616E84">
        <w:rPr>
          <w:rFonts w:ascii="宋体" w:hAnsi="宋体" w:hint="eastAsia"/>
          <w:color w:val="000000"/>
          <w:sz w:val="24"/>
        </w:rPr>
        <w:t>董事会表决情况如下：</w:t>
      </w:r>
      <w:r w:rsidR="000D0CCE" w:rsidRPr="00616E84">
        <w:rPr>
          <w:rFonts w:ascii="宋体" w:hAnsi="宋体"/>
          <w:color w:val="000000"/>
          <w:sz w:val="24"/>
        </w:rPr>
        <w:t>4</w:t>
      </w:r>
      <w:r w:rsidRPr="00616E84">
        <w:rPr>
          <w:rFonts w:ascii="宋体" w:hAnsi="宋体" w:hint="eastAsia"/>
          <w:color w:val="000000"/>
          <w:sz w:val="24"/>
        </w:rPr>
        <w:t>名关联董事回避表决，</w:t>
      </w:r>
      <w:r w:rsidR="00A15C7C" w:rsidRPr="00616E84">
        <w:rPr>
          <w:rFonts w:ascii="宋体" w:hAnsi="宋体" w:hint="eastAsia"/>
          <w:color w:val="000000"/>
          <w:sz w:val="24"/>
        </w:rPr>
        <w:t>5</w:t>
      </w:r>
      <w:r w:rsidRPr="00616E84">
        <w:rPr>
          <w:rFonts w:ascii="宋体" w:hAnsi="宋体" w:hint="eastAsia"/>
          <w:color w:val="000000"/>
          <w:sz w:val="24"/>
        </w:rPr>
        <w:t>名</w:t>
      </w:r>
      <w:r w:rsidR="00811B7F" w:rsidRPr="00616E84">
        <w:rPr>
          <w:rFonts w:ascii="宋体" w:hAnsi="宋体" w:hint="eastAsia"/>
          <w:color w:val="000000"/>
          <w:sz w:val="24"/>
        </w:rPr>
        <w:t>非关联</w:t>
      </w:r>
      <w:r w:rsidRPr="00616E84">
        <w:rPr>
          <w:rFonts w:ascii="宋体" w:hAnsi="宋体" w:hint="eastAsia"/>
          <w:color w:val="000000"/>
          <w:sz w:val="24"/>
        </w:rPr>
        <w:t>董事</w:t>
      </w:r>
      <w:r w:rsidR="00811B7F" w:rsidRPr="00616E84">
        <w:rPr>
          <w:rFonts w:ascii="宋体" w:hAnsi="宋体" w:hint="eastAsia"/>
          <w:color w:val="000000"/>
          <w:sz w:val="24"/>
        </w:rPr>
        <w:t>一致</w:t>
      </w:r>
      <w:r w:rsidRPr="00616E84">
        <w:rPr>
          <w:rFonts w:ascii="宋体" w:hAnsi="宋体" w:hint="eastAsia"/>
          <w:color w:val="000000"/>
          <w:sz w:val="24"/>
        </w:rPr>
        <w:t>同意本次关联交易，全部独立董事签署了</w:t>
      </w:r>
      <w:r w:rsidR="00C5429A" w:rsidRPr="00616E84">
        <w:rPr>
          <w:rFonts w:ascii="宋体" w:hAnsi="宋体" w:hint="eastAsia"/>
          <w:color w:val="000000"/>
          <w:sz w:val="24"/>
        </w:rPr>
        <w:t>认可意见书和</w:t>
      </w:r>
      <w:r w:rsidR="005635E1" w:rsidRPr="00616E84">
        <w:rPr>
          <w:rFonts w:ascii="宋体" w:hAnsi="宋体" w:hint="eastAsia"/>
          <w:color w:val="000000"/>
          <w:sz w:val="24"/>
        </w:rPr>
        <w:t>独立意见</w:t>
      </w:r>
      <w:r w:rsidRPr="00616E84">
        <w:rPr>
          <w:rFonts w:ascii="宋体" w:hAnsi="宋体" w:hint="eastAsia"/>
          <w:color w:val="000000"/>
          <w:sz w:val="24"/>
        </w:rPr>
        <w:t>。</w:t>
      </w:r>
    </w:p>
    <w:p w:rsidR="00EB7334" w:rsidRPr="00616E84" w:rsidRDefault="00C76929" w:rsidP="00626E3E">
      <w:pPr>
        <w:snapToGrid w:val="0"/>
        <w:spacing w:line="520" w:lineRule="atLeast"/>
        <w:ind w:rightChars="12" w:right="25" w:firstLine="556"/>
        <w:rPr>
          <w:rFonts w:ascii="宋体" w:hAnsi="宋体"/>
          <w:color w:val="000000"/>
          <w:sz w:val="24"/>
        </w:rPr>
      </w:pPr>
      <w:r w:rsidRPr="00616E84">
        <w:rPr>
          <w:rFonts w:ascii="宋体" w:hAnsi="宋体" w:hint="eastAsia"/>
          <w:color w:val="000000"/>
          <w:sz w:val="24"/>
        </w:rPr>
        <w:t>本次关联交易尚</w:t>
      </w:r>
      <w:r w:rsidR="001875F9" w:rsidRPr="00616E84">
        <w:rPr>
          <w:rFonts w:ascii="宋体" w:hAnsi="宋体"/>
          <w:color w:val="000000"/>
          <w:sz w:val="24"/>
        </w:rPr>
        <w:t>需</w:t>
      </w:r>
      <w:r w:rsidRPr="00616E84">
        <w:rPr>
          <w:rFonts w:ascii="宋体" w:hAnsi="宋体" w:hint="eastAsia"/>
          <w:color w:val="000000"/>
          <w:sz w:val="24"/>
        </w:rPr>
        <w:t>获得</w:t>
      </w:r>
      <w:r w:rsidR="00435335" w:rsidRPr="00616E84">
        <w:rPr>
          <w:rFonts w:ascii="宋体" w:hAnsi="宋体" w:hint="eastAsia"/>
          <w:color w:val="000000"/>
          <w:sz w:val="24"/>
        </w:rPr>
        <w:t>公司</w:t>
      </w:r>
      <w:r w:rsidRPr="00616E84">
        <w:rPr>
          <w:rFonts w:ascii="宋体" w:hAnsi="宋体" w:hint="eastAsia"/>
          <w:color w:val="000000"/>
          <w:sz w:val="24"/>
        </w:rPr>
        <w:t>股东大会的批准，与该关联交易有利害关系的关联人将放弃行使在股东大会上对该议案的投票权。</w:t>
      </w:r>
    </w:p>
    <w:p w:rsidR="000B6C99" w:rsidRPr="00616E84" w:rsidRDefault="000B6C99" w:rsidP="00626E3E">
      <w:pPr>
        <w:snapToGrid w:val="0"/>
        <w:spacing w:line="520" w:lineRule="atLeast"/>
        <w:ind w:rightChars="12" w:right="25" w:firstLine="556"/>
        <w:rPr>
          <w:rFonts w:ascii="宋体" w:hAnsi="宋体"/>
          <w:color w:val="000000"/>
          <w:sz w:val="24"/>
        </w:rPr>
      </w:pPr>
    </w:p>
    <w:p w:rsidR="00DB6620" w:rsidRPr="00616E84" w:rsidRDefault="00CF23AD" w:rsidP="00C22C5F">
      <w:pPr>
        <w:adjustRightInd w:val="0"/>
        <w:snapToGrid w:val="0"/>
        <w:spacing w:line="520" w:lineRule="atLeast"/>
        <w:ind w:firstLineChars="200" w:firstLine="482"/>
        <w:rPr>
          <w:rFonts w:ascii="宋体" w:hAnsi="宋体"/>
          <w:sz w:val="24"/>
        </w:rPr>
      </w:pPr>
      <w:r w:rsidRPr="00616E84">
        <w:rPr>
          <w:rFonts w:ascii="宋体" w:hAnsi="宋体" w:hint="eastAsia"/>
          <w:b/>
          <w:color w:val="000000"/>
          <w:sz w:val="24"/>
        </w:rPr>
        <w:t>七</w:t>
      </w:r>
      <w:r w:rsidR="00E2150A" w:rsidRPr="00616E84">
        <w:rPr>
          <w:rFonts w:ascii="宋体" w:hAnsi="宋体" w:hint="eastAsia"/>
          <w:b/>
          <w:color w:val="000000"/>
          <w:sz w:val="24"/>
        </w:rPr>
        <w:t>、历史关联交易情况</w:t>
      </w:r>
      <w:r w:rsidR="00D0024C" w:rsidRPr="00616E84">
        <w:rPr>
          <w:rFonts w:ascii="宋体" w:hAnsi="宋体" w:hint="eastAsia"/>
          <w:b/>
          <w:color w:val="000000"/>
          <w:sz w:val="24"/>
        </w:rPr>
        <w:t>。</w:t>
      </w:r>
    </w:p>
    <w:p w:rsidR="000D0CCE" w:rsidRPr="00616E84" w:rsidRDefault="000D0CCE" w:rsidP="000D0CCE">
      <w:pPr>
        <w:adjustRightInd w:val="0"/>
        <w:snapToGrid w:val="0"/>
        <w:spacing w:line="520" w:lineRule="atLeast"/>
        <w:ind w:firstLineChars="200" w:firstLine="480"/>
        <w:rPr>
          <w:rFonts w:ascii="宋体" w:hAnsi="宋体"/>
          <w:color w:val="000000"/>
          <w:sz w:val="24"/>
        </w:rPr>
      </w:pPr>
      <w:r w:rsidRPr="00616E84">
        <w:rPr>
          <w:rFonts w:ascii="宋体" w:hAnsi="宋体"/>
          <w:color w:val="000000"/>
          <w:sz w:val="24"/>
        </w:rPr>
        <w:t>1</w:t>
      </w:r>
      <w:r w:rsidRPr="00616E84">
        <w:rPr>
          <w:rFonts w:ascii="宋体" w:hAnsi="宋体" w:hint="eastAsia"/>
          <w:color w:val="000000"/>
          <w:sz w:val="24"/>
        </w:rPr>
        <w:t>、经公司第七届董事会</w:t>
      </w:r>
      <w:r w:rsidRPr="00616E84">
        <w:rPr>
          <w:rFonts w:ascii="宋体" w:hAnsi="宋体"/>
          <w:color w:val="000000"/>
          <w:sz w:val="24"/>
        </w:rPr>
        <w:t>2014</w:t>
      </w:r>
      <w:r w:rsidRPr="00616E84">
        <w:rPr>
          <w:rFonts w:ascii="宋体" w:hAnsi="宋体" w:hint="eastAsia"/>
          <w:color w:val="000000"/>
          <w:sz w:val="24"/>
        </w:rPr>
        <w:t>年第二次临时会议审议，同意公司的全资子公司</w:t>
      </w:r>
      <w:r w:rsidRPr="00616E84">
        <w:rPr>
          <w:rFonts w:ascii="宋体" w:hAnsi="宋体"/>
          <w:color w:val="000000"/>
          <w:sz w:val="24"/>
        </w:rPr>
        <w:t>----</w:t>
      </w:r>
      <w:r w:rsidRPr="00616E84">
        <w:rPr>
          <w:rFonts w:ascii="宋体" w:hAnsi="宋体" w:hint="eastAsia"/>
          <w:color w:val="000000"/>
          <w:sz w:val="24"/>
        </w:rPr>
        <w:t>上海智依投资有限公司以认购上海陆家</w:t>
      </w:r>
      <w:proofErr w:type="gramStart"/>
      <w:r w:rsidRPr="00616E84">
        <w:rPr>
          <w:rFonts w:ascii="宋体" w:hAnsi="宋体" w:hint="eastAsia"/>
          <w:color w:val="000000"/>
          <w:sz w:val="24"/>
        </w:rPr>
        <w:t>嘴新辰投资</w:t>
      </w:r>
      <w:proofErr w:type="gramEnd"/>
      <w:r w:rsidRPr="00616E84">
        <w:rPr>
          <w:rFonts w:ascii="宋体" w:hAnsi="宋体" w:hint="eastAsia"/>
          <w:color w:val="000000"/>
          <w:sz w:val="24"/>
        </w:rPr>
        <w:t>股份有限公司新增注册资本的方式，增资入股该公司，出资金额为人民币</w:t>
      </w:r>
      <w:r w:rsidRPr="00616E84">
        <w:rPr>
          <w:rFonts w:ascii="宋体" w:hAnsi="宋体"/>
          <w:color w:val="000000"/>
          <w:sz w:val="24"/>
        </w:rPr>
        <w:t>2.4</w:t>
      </w:r>
      <w:r w:rsidRPr="00616E84">
        <w:rPr>
          <w:rFonts w:ascii="宋体" w:hAnsi="宋体" w:hint="eastAsia"/>
          <w:color w:val="000000"/>
          <w:sz w:val="24"/>
        </w:rPr>
        <w:t>亿元，股权比例为</w:t>
      </w:r>
      <w:r w:rsidRPr="00616E84">
        <w:rPr>
          <w:rFonts w:ascii="宋体" w:hAnsi="宋体"/>
          <w:color w:val="000000"/>
          <w:sz w:val="24"/>
        </w:rPr>
        <w:t>20%</w:t>
      </w:r>
      <w:r w:rsidRPr="00616E84">
        <w:rPr>
          <w:rFonts w:ascii="宋体" w:hAnsi="宋体" w:hint="eastAsia"/>
          <w:color w:val="000000"/>
          <w:sz w:val="24"/>
        </w:rPr>
        <w:t>，并同比例配置股东贷款。经公司第七届董事会第七次会议审议，同意上海陆家</w:t>
      </w:r>
      <w:proofErr w:type="gramStart"/>
      <w:r w:rsidRPr="00616E84">
        <w:rPr>
          <w:rFonts w:ascii="宋体" w:hAnsi="宋体" w:hint="eastAsia"/>
          <w:color w:val="000000"/>
          <w:sz w:val="24"/>
        </w:rPr>
        <w:t>嘴新辰投资</w:t>
      </w:r>
      <w:proofErr w:type="gramEnd"/>
      <w:r w:rsidRPr="00616E84">
        <w:rPr>
          <w:rFonts w:ascii="宋体" w:hAnsi="宋体" w:hint="eastAsia"/>
          <w:color w:val="000000"/>
          <w:sz w:val="24"/>
        </w:rPr>
        <w:t>股份有限公司先行偿还公司人民币</w:t>
      </w:r>
      <w:r w:rsidRPr="00616E84">
        <w:rPr>
          <w:rFonts w:ascii="宋体" w:hAnsi="宋体"/>
          <w:color w:val="000000"/>
          <w:sz w:val="24"/>
        </w:rPr>
        <w:t>1.04</w:t>
      </w:r>
      <w:r w:rsidRPr="00616E84">
        <w:rPr>
          <w:rFonts w:ascii="宋体" w:hAnsi="宋体" w:hint="eastAsia"/>
          <w:color w:val="000000"/>
          <w:sz w:val="24"/>
        </w:rPr>
        <w:t>亿元委托贷款。同时，公司在同等额度和条件下，向上海陆家</w:t>
      </w:r>
      <w:proofErr w:type="gramStart"/>
      <w:r w:rsidRPr="00616E84">
        <w:rPr>
          <w:rFonts w:ascii="宋体" w:hAnsi="宋体" w:hint="eastAsia"/>
          <w:color w:val="000000"/>
          <w:sz w:val="24"/>
        </w:rPr>
        <w:t>嘴新辰投资</w:t>
      </w:r>
      <w:proofErr w:type="gramEnd"/>
      <w:r w:rsidRPr="00616E84">
        <w:rPr>
          <w:rFonts w:ascii="宋体" w:hAnsi="宋体" w:hint="eastAsia"/>
          <w:color w:val="000000"/>
          <w:sz w:val="24"/>
        </w:rPr>
        <w:t>股份有限公司的全资子公司</w:t>
      </w:r>
      <w:r w:rsidRPr="00616E84">
        <w:rPr>
          <w:rFonts w:ascii="宋体" w:hAnsi="宋体"/>
          <w:color w:val="000000"/>
          <w:sz w:val="24"/>
        </w:rPr>
        <w:t>----</w:t>
      </w:r>
      <w:r w:rsidRPr="00616E84">
        <w:rPr>
          <w:rFonts w:ascii="宋体" w:hAnsi="宋体" w:hint="eastAsia"/>
          <w:color w:val="000000"/>
          <w:sz w:val="24"/>
        </w:rPr>
        <w:t>上海陆家</w:t>
      </w:r>
      <w:proofErr w:type="gramStart"/>
      <w:r w:rsidRPr="00616E84">
        <w:rPr>
          <w:rFonts w:ascii="宋体" w:hAnsi="宋体" w:hint="eastAsia"/>
          <w:color w:val="000000"/>
          <w:sz w:val="24"/>
        </w:rPr>
        <w:t>嘴新辰临壹投</w:t>
      </w:r>
      <w:proofErr w:type="gramEnd"/>
      <w:r w:rsidRPr="00616E84">
        <w:rPr>
          <w:rFonts w:ascii="宋体" w:hAnsi="宋体" w:hint="eastAsia"/>
          <w:color w:val="000000"/>
          <w:sz w:val="24"/>
        </w:rPr>
        <w:t>资有限公司提供人民币</w:t>
      </w:r>
      <w:r w:rsidRPr="00616E84">
        <w:rPr>
          <w:rFonts w:ascii="宋体" w:hAnsi="宋体"/>
          <w:color w:val="000000"/>
          <w:sz w:val="24"/>
        </w:rPr>
        <w:t>1.04</w:t>
      </w:r>
      <w:r w:rsidRPr="00616E84">
        <w:rPr>
          <w:rFonts w:ascii="宋体" w:hAnsi="宋体" w:hint="eastAsia"/>
          <w:color w:val="000000"/>
          <w:sz w:val="24"/>
        </w:rPr>
        <w:t>亿元委托贷款。截至</w:t>
      </w:r>
      <w:r w:rsidRPr="00616E84">
        <w:rPr>
          <w:rFonts w:ascii="宋体" w:hAnsi="宋体"/>
          <w:color w:val="000000"/>
          <w:sz w:val="24"/>
        </w:rPr>
        <w:t>2018</w:t>
      </w:r>
      <w:r w:rsidRPr="00616E84">
        <w:rPr>
          <w:rFonts w:ascii="宋体" w:hAnsi="宋体" w:hint="eastAsia"/>
          <w:color w:val="000000"/>
          <w:sz w:val="24"/>
        </w:rPr>
        <w:t>年</w:t>
      </w:r>
      <w:r w:rsidRPr="00616E84">
        <w:rPr>
          <w:rFonts w:ascii="宋体" w:hAnsi="宋体"/>
          <w:color w:val="000000"/>
          <w:sz w:val="24"/>
        </w:rPr>
        <w:t>12</w:t>
      </w:r>
      <w:r w:rsidRPr="00616E84">
        <w:rPr>
          <w:rFonts w:ascii="宋体" w:hAnsi="宋体" w:hint="eastAsia"/>
          <w:color w:val="000000"/>
          <w:sz w:val="24"/>
        </w:rPr>
        <w:t>月</w:t>
      </w:r>
      <w:r w:rsidRPr="00616E84">
        <w:rPr>
          <w:rFonts w:ascii="宋体" w:hAnsi="宋体"/>
          <w:color w:val="000000"/>
          <w:sz w:val="24"/>
        </w:rPr>
        <w:t>31</w:t>
      </w:r>
      <w:r w:rsidRPr="00616E84">
        <w:rPr>
          <w:rFonts w:ascii="宋体" w:hAnsi="宋体" w:hint="eastAsia"/>
          <w:color w:val="000000"/>
          <w:sz w:val="24"/>
        </w:rPr>
        <w:t>日，上海陆家</w:t>
      </w:r>
      <w:proofErr w:type="gramStart"/>
      <w:r w:rsidRPr="00616E84">
        <w:rPr>
          <w:rFonts w:ascii="宋体" w:hAnsi="宋体" w:hint="eastAsia"/>
          <w:color w:val="000000"/>
          <w:sz w:val="24"/>
        </w:rPr>
        <w:t>嘴新辰投资</w:t>
      </w:r>
      <w:proofErr w:type="gramEnd"/>
      <w:r w:rsidRPr="00616E84">
        <w:rPr>
          <w:rFonts w:ascii="宋体" w:hAnsi="宋体" w:hint="eastAsia"/>
          <w:color w:val="000000"/>
          <w:sz w:val="24"/>
        </w:rPr>
        <w:t>股份有限公司和上海陆家</w:t>
      </w:r>
      <w:proofErr w:type="gramStart"/>
      <w:r w:rsidRPr="00616E84">
        <w:rPr>
          <w:rFonts w:ascii="宋体" w:hAnsi="宋体" w:hint="eastAsia"/>
          <w:color w:val="000000"/>
          <w:sz w:val="24"/>
        </w:rPr>
        <w:t>嘴新辰临壹投</w:t>
      </w:r>
      <w:proofErr w:type="gramEnd"/>
      <w:r w:rsidRPr="00616E84">
        <w:rPr>
          <w:rFonts w:ascii="宋体" w:hAnsi="宋体" w:hint="eastAsia"/>
          <w:color w:val="000000"/>
          <w:sz w:val="24"/>
        </w:rPr>
        <w:t>资有限公司获得公司委托贷款余额分别为人民币0.96亿元和人民币1.04亿元，公司收到上述两家公司支付的利息分别为人民币479.78万元和人民币547.12万元，贷款利率分别为</w:t>
      </w:r>
      <w:r w:rsidRPr="00616E84">
        <w:rPr>
          <w:rFonts w:ascii="宋体" w:hAnsi="宋体"/>
          <w:color w:val="000000"/>
          <w:sz w:val="24"/>
        </w:rPr>
        <w:t>5.225%</w:t>
      </w:r>
      <w:r w:rsidRPr="00616E84">
        <w:rPr>
          <w:rFonts w:ascii="宋体" w:hAnsi="宋体" w:hint="eastAsia"/>
          <w:color w:val="000000"/>
          <w:sz w:val="24"/>
        </w:rPr>
        <w:t>及5.5</w:t>
      </w:r>
      <w:r w:rsidRPr="00616E84">
        <w:rPr>
          <w:rFonts w:ascii="宋体" w:hAnsi="宋体"/>
          <w:color w:val="000000"/>
          <w:sz w:val="24"/>
        </w:rPr>
        <w:t>%</w:t>
      </w:r>
      <w:r w:rsidRPr="00616E84">
        <w:rPr>
          <w:rFonts w:ascii="宋体" w:hAnsi="宋体" w:hint="eastAsia"/>
          <w:color w:val="000000"/>
          <w:sz w:val="24"/>
        </w:rPr>
        <w:t>。（详见公告临</w:t>
      </w:r>
      <w:r w:rsidRPr="00616E84">
        <w:rPr>
          <w:rFonts w:ascii="宋体" w:hAnsi="宋体"/>
          <w:color w:val="000000"/>
          <w:sz w:val="24"/>
        </w:rPr>
        <w:t>2014-026</w:t>
      </w:r>
      <w:r w:rsidRPr="00616E84">
        <w:rPr>
          <w:rFonts w:ascii="宋体" w:hAnsi="宋体" w:hint="eastAsia"/>
          <w:color w:val="000000"/>
          <w:sz w:val="24"/>
        </w:rPr>
        <w:t>号、临</w:t>
      </w:r>
      <w:r w:rsidRPr="00616E84">
        <w:rPr>
          <w:rFonts w:ascii="宋体" w:hAnsi="宋体"/>
          <w:color w:val="000000"/>
          <w:sz w:val="24"/>
        </w:rPr>
        <w:t>2015-027</w:t>
      </w:r>
      <w:r w:rsidRPr="00616E84">
        <w:rPr>
          <w:rFonts w:ascii="宋体" w:hAnsi="宋体" w:hint="eastAsia"/>
          <w:color w:val="000000"/>
          <w:sz w:val="24"/>
        </w:rPr>
        <w:t>号）</w:t>
      </w:r>
    </w:p>
    <w:p w:rsidR="000D0CCE" w:rsidRDefault="000D0CCE" w:rsidP="000D0CCE">
      <w:pPr>
        <w:adjustRightInd w:val="0"/>
        <w:snapToGrid w:val="0"/>
        <w:spacing w:line="520" w:lineRule="atLeast"/>
        <w:ind w:firstLineChars="200" w:firstLine="480"/>
        <w:rPr>
          <w:rFonts w:ascii="宋体" w:hAnsi="宋体"/>
          <w:color w:val="000000"/>
          <w:sz w:val="24"/>
        </w:rPr>
      </w:pPr>
      <w:r w:rsidRPr="00616E84">
        <w:rPr>
          <w:rFonts w:ascii="宋体" w:hAnsi="宋体"/>
          <w:color w:val="000000"/>
          <w:sz w:val="24"/>
        </w:rPr>
        <w:t>2</w:t>
      </w:r>
      <w:r w:rsidRPr="00616E84">
        <w:rPr>
          <w:rFonts w:ascii="宋体" w:hAnsi="宋体" w:hint="eastAsia"/>
          <w:color w:val="000000"/>
          <w:sz w:val="24"/>
        </w:rPr>
        <w:t>、经公司第七届董事会第十七次会议以及</w:t>
      </w:r>
      <w:r w:rsidRPr="00616E84">
        <w:rPr>
          <w:rFonts w:ascii="宋体" w:hAnsi="宋体"/>
          <w:color w:val="000000"/>
          <w:sz w:val="24"/>
        </w:rPr>
        <w:t>2017</w:t>
      </w:r>
      <w:r w:rsidRPr="00616E84">
        <w:rPr>
          <w:rFonts w:ascii="宋体" w:hAnsi="宋体" w:hint="eastAsia"/>
          <w:color w:val="000000"/>
          <w:sz w:val="24"/>
        </w:rPr>
        <w:t>年年度股东大会审议通过，公司及其全资和控股子公司计划</w:t>
      </w:r>
      <w:r w:rsidRPr="00616E84">
        <w:rPr>
          <w:rFonts w:ascii="宋体" w:hAnsi="宋体"/>
          <w:color w:val="000000"/>
          <w:sz w:val="24"/>
        </w:rPr>
        <w:t>2017</w:t>
      </w:r>
      <w:r w:rsidRPr="00616E84">
        <w:rPr>
          <w:rFonts w:ascii="宋体" w:hAnsi="宋体" w:hint="eastAsia"/>
          <w:color w:val="000000"/>
          <w:sz w:val="24"/>
        </w:rPr>
        <w:t>年年度股东大会表决通过之日起至</w:t>
      </w:r>
      <w:r w:rsidRPr="00616E84">
        <w:rPr>
          <w:rFonts w:ascii="宋体" w:hAnsi="宋体"/>
          <w:color w:val="000000"/>
          <w:sz w:val="24"/>
        </w:rPr>
        <w:t>2018</w:t>
      </w:r>
      <w:r w:rsidRPr="00616E84">
        <w:rPr>
          <w:rFonts w:ascii="宋体" w:hAnsi="宋体" w:hint="eastAsia"/>
          <w:color w:val="000000"/>
          <w:sz w:val="24"/>
        </w:rPr>
        <w:t>年年度股东大会召开前日，接受控股股东上海陆家嘴（集团）有限公司贷款余额不超过人民币</w:t>
      </w:r>
      <w:r w:rsidRPr="00616E84">
        <w:rPr>
          <w:rFonts w:ascii="宋体" w:hAnsi="宋体"/>
          <w:color w:val="000000"/>
          <w:sz w:val="24"/>
        </w:rPr>
        <w:t>80</w:t>
      </w:r>
      <w:r w:rsidRPr="00616E84">
        <w:rPr>
          <w:rFonts w:ascii="宋体" w:hAnsi="宋体" w:hint="eastAsia"/>
          <w:color w:val="000000"/>
          <w:sz w:val="24"/>
        </w:rPr>
        <w:t>亿元，并在该额度内可以循环使用。截至</w:t>
      </w:r>
      <w:r w:rsidRPr="00616E84">
        <w:rPr>
          <w:rFonts w:ascii="宋体" w:hAnsi="宋体"/>
          <w:color w:val="000000"/>
          <w:sz w:val="24"/>
        </w:rPr>
        <w:t>2018</w:t>
      </w:r>
      <w:r w:rsidRPr="00616E84">
        <w:rPr>
          <w:rFonts w:ascii="宋体" w:hAnsi="宋体" w:hint="eastAsia"/>
          <w:color w:val="000000"/>
          <w:sz w:val="24"/>
        </w:rPr>
        <w:t>年</w:t>
      </w:r>
      <w:r w:rsidRPr="00616E84">
        <w:rPr>
          <w:rFonts w:ascii="宋体" w:hAnsi="宋体"/>
          <w:color w:val="000000"/>
          <w:sz w:val="24"/>
        </w:rPr>
        <w:t>12</w:t>
      </w:r>
      <w:r w:rsidRPr="00616E84">
        <w:rPr>
          <w:rFonts w:ascii="宋体" w:hAnsi="宋体" w:hint="eastAsia"/>
          <w:color w:val="000000"/>
          <w:sz w:val="24"/>
        </w:rPr>
        <w:t>月</w:t>
      </w:r>
      <w:r w:rsidRPr="00616E84">
        <w:rPr>
          <w:rFonts w:ascii="宋体" w:hAnsi="宋体"/>
          <w:color w:val="000000"/>
          <w:sz w:val="24"/>
        </w:rPr>
        <w:t>31</w:t>
      </w:r>
      <w:r w:rsidRPr="00616E84">
        <w:rPr>
          <w:rFonts w:ascii="宋体" w:hAnsi="宋体" w:hint="eastAsia"/>
          <w:color w:val="000000"/>
          <w:sz w:val="24"/>
        </w:rPr>
        <w:t>日，公司及其全资和控股子公司实际接受控股股东贷款余额人民币</w:t>
      </w:r>
      <w:r w:rsidRPr="00616E84">
        <w:rPr>
          <w:rFonts w:ascii="宋体" w:hAnsi="宋体"/>
          <w:color w:val="000000"/>
          <w:sz w:val="24"/>
        </w:rPr>
        <w:t>29.5</w:t>
      </w:r>
      <w:r w:rsidRPr="00616E84">
        <w:rPr>
          <w:rFonts w:ascii="宋体" w:hAnsi="宋体" w:hint="eastAsia"/>
          <w:color w:val="000000"/>
          <w:sz w:val="24"/>
        </w:rPr>
        <w:t>亿元，贷款利率</w:t>
      </w:r>
      <w:r w:rsidR="00747790" w:rsidRPr="00A65D90">
        <w:rPr>
          <w:rFonts w:ascii="宋体" w:hAnsi="宋体" w:hint="eastAsia"/>
          <w:color w:val="000000"/>
          <w:kern w:val="0"/>
          <w:sz w:val="24"/>
          <w:szCs w:val="24"/>
        </w:rPr>
        <w:t>4.35</w:t>
      </w:r>
      <w:r w:rsidR="00747790" w:rsidRPr="00A65D90">
        <w:rPr>
          <w:rFonts w:ascii="宋体" w:hAnsi="宋体"/>
          <w:color w:val="000000"/>
          <w:kern w:val="0"/>
          <w:sz w:val="24"/>
          <w:szCs w:val="24"/>
        </w:rPr>
        <w:t>%</w:t>
      </w:r>
      <w:r w:rsidR="00747790">
        <w:rPr>
          <w:rFonts w:ascii="宋体" w:hAnsi="宋体"/>
          <w:color w:val="000000"/>
          <w:kern w:val="0"/>
          <w:sz w:val="24"/>
          <w:szCs w:val="24"/>
        </w:rPr>
        <w:t>-4.57</w:t>
      </w:r>
      <w:r w:rsidR="00747790">
        <w:rPr>
          <w:rFonts w:ascii="宋体" w:hAnsi="宋体" w:hint="eastAsia"/>
          <w:color w:val="000000"/>
          <w:kern w:val="0"/>
          <w:sz w:val="24"/>
          <w:szCs w:val="24"/>
        </w:rPr>
        <w:t>%</w:t>
      </w:r>
      <w:r w:rsidRPr="00616E84">
        <w:rPr>
          <w:rFonts w:ascii="宋体" w:hAnsi="宋体" w:hint="eastAsia"/>
          <w:color w:val="000000"/>
          <w:sz w:val="24"/>
        </w:rPr>
        <w:t>，发生利息总计人民币</w:t>
      </w:r>
      <w:r w:rsidRPr="00616E84">
        <w:rPr>
          <w:rFonts w:ascii="宋体" w:hAnsi="宋体"/>
          <w:color w:val="000000"/>
          <w:sz w:val="24"/>
        </w:rPr>
        <w:t>15,885.03</w:t>
      </w:r>
      <w:r w:rsidRPr="00616E84">
        <w:rPr>
          <w:rFonts w:ascii="宋体" w:hAnsi="宋体" w:hint="eastAsia"/>
          <w:color w:val="000000"/>
          <w:sz w:val="24"/>
        </w:rPr>
        <w:t>万元。（详见公告临</w:t>
      </w:r>
      <w:r w:rsidRPr="00616E84">
        <w:rPr>
          <w:rFonts w:ascii="宋体" w:hAnsi="宋体"/>
          <w:color w:val="000000"/>
          <w:sz w:val="24"/>
        </w:rPr>
        <w:t>2018-009</w:t>
      </w:r>
      <w:r w:rsidRPr="00616E84">
        <w:rPr>
          <w:rFonts w:ascii="宋体" w:hAnsi="宋体" w:hint="eastAsia"/>
          <w:color w:val="000000"/>
          <w:sz w:val="24"/>
        </w:rPr>
        <w:t>、临</w:t>
      </w:r>
      <w:r w:rsidRPr="00616E84">
        <w:rPr>
          <w:rFonts w:ascii="宋体" w:hAnsi="宋体"/>
          <w:color w:val="000000"/>
          <w:sz w:val="24"/>
        </w:rPr>
        <w:t>2018-024</w:t>
      </w:r>
      <w:r w:rsidRPr="00616E84">
        <w:rPr>
          <w:rFonts w:ascii="宋体" w:hAnsi="宋体" w:hint="eastAsia"/>
          <w:color w:val="000000"/>
          <w:sz w:val="24"/>
        </w:rPr>
        <w:t>）</w:t>
      </w:r>
    </w:p>
    <w:p w:rsidR="0025309C" w:rsidRDefault="0025309C" w:rsidP="000D0CCE">
      <w:pPr>
        <w:adjustRightInd w:val="0"/>
        <w:snapToGrid w:val="0"/>
        <w:spacing w:line="520" w:lineRule="atLeast"/>
        <w:ind w:firstLineChars="200" w:firstLine="480"/>
        <w:rPr>
          <w:rFonts w:ascii="宋体" w:hAnsi="宋体"/>
          <w:color w:val="000000"/>
          <w:sz w:val="24"/>
        </w:rPr>
      </w:pPr>
    </w:p>
    <w:p w:rsidR="0025309C" w:rsidRPr="00855710" w:rsidRDefault="0025309C" w:rsidP="0025309C">
      <w:pPr>
        <w:adjustRightInd w:val="0"/>
        <w:snapToGrid w:val="0"/>
        <w:spacing w:line="520" w:lineRule="atLeast"/>
        <w:ind w:firstLineChars="200" w:firstLine="482"/>
        <w:rPr>
          <w:rFonts w:ascii="宋体" w:hAnsi="宋体"/>
          <w:b/>
          <w:color w:val="000000"/>
          <w:sz w:val="24"/>
        </w:rPr>
      </w:pPr>
      <w:r w:rsidRPr="00855710">
        <w:rPr>
          <w:rFonts w:ascii="宋体" w:hAnsi="宋体" w:hint="eastAsia"/>
          <w:b/>
          <w:color w:val="000000"/>
          <w:sz w:val="24"/>
        </w:rPr>
        <w:t>八、备查文件目录</w:t>
      </w:r>
    </w:p>
    <w:p w:rsidR="0025309C" w:rsidRPr="00855710" w:rsidRDefault="0025309C" w:rsidP="0025309C">
      <w:pPr>
        <w:widowControl/>
        <w:shd w:val="clear" w:color="auto" w:fill="FFFFFF"/>
        <w:spacing w:line="480" w:lineRule="atLeast"/>
        <w:ind w:firstLine="480"/>
        <w:rPr>
          <w:rFonts w:ascii="宋体" w:hAnsi="宋体"/>
          <w:color w:val="000000"/>
          <w:kern w:val="0"/>
          <w:sz w:val="24"/>
          <w:szCs w:val="24"/>
        </w:rPr>
      </w:pPr>
      <w:bookmarkStart w:id="2" w:name="_Hlk4353107"/>
      <w:r w:rsidRPr="00855710">
        <w:rPr>
          <w:rFonts w:ascii="宋体" w:hAnsi="宋体" w:hint="eastAsia"/>
          <w:color w:val="000000"/>
          <w:kern w:val="0"/>
          <w:sz w:val="24"/>
          <w:szCs w:val="24"/>
        </w:rPr>
        <w:t>（一）《上海陆家嘴金融贸易区开发股份有限公司第八届董事会第四次会议决议》；</w:t>
      </w:r>
    </w:p>
    <w:p w:rsidR="0025309C" w:rsidRPr="00855710" w:rsidRDefault="0025309C" w:rsidP="0025309C">
      <w:pPr>
        <w:widowControl/>
        <w:shd w:val="clear" w:color="auto" w:fill="FFFFFF"/>
        <w:spacing w:line="480" w:lineRule="atLeast"/>
        <w:ind w:firstLine="480"/>
        <w:rPr>
          <w:rFonts w:ascii="宋体" w:hAnsi="宋体"/>
          <w:color w:val="000000"/>
          <w:kern w:val="0"/>
          <w:sz w:val="24"/>
          <w:szCs w:val="24"/>
        </w:rPr>
      </w:pPr>
      <w:r w:rsidRPr="00855710">
        <w:rPr>
          <w:rFonts w:ascii="宋体" w:hAnsi="宋体" w:hint="eastAsia"/>
          <w:color w:val="000000"/>
          <w:kern w:val="0"/>
          <w:sz w:val="24"/>
          <w:szCs w:val="24"/>
        </w:rPr>
        <w:t>（二）经独立董事签字的《</w:t>
      </w:r>
      <w:r w:rsidR="00440C6A">
        <w:rPr>
          <w:rFonts w:ascii="宋体" w:hAnsi="宋体" w:hint="eastAsia"/>
          <w:color w:val="000000"/>
          <w:kern w:val="0"/>
          <w:sz w:val="24"/>
          <w:szCs w:val="24"/>
        </w:rPr>
        <w:t>独立董事</w:t>
      </w:r>
      <w:r w:rsidRPr="0025309C">
        <w:rPr>
          <w:rFonts w:ascii="宋体" w:hAnsi="宋体" w:hint="eastAsia"/>
          <w:color w:val="000000"/>
          <w:kern w:val="0"/>
          <w:sz w:val="24"/>
          <w:szCs w:val="24"/>
        </w:rPr>
        <w:t>关于同意“</w:t>
      </w:r>
      <w:r w:rsidRPr="0025309C">
        <w:rPr>
          <w:rFonts w:ascii="宋体" w:hAnsi="宋体"/>
          <w:color w:val="000000"/>
          <w:kern w:val="0"/>
          <w:sz w:val="24"/>
          <w:szCs w:val="24"/>
        </w:rPr>
        <w:t>2019</w:t>
      </w:r>
      <w:r w:rsidRPr="0025309C">
        <w:rPr>
          <w:rFonts w:ascii="宋体" w:hAnsi="宋体" w:hint="eastAsia"/>
          <w:color w:val="000000"/>
          <w:kern w:val="0"/>
          <w:sz w:val="24"/>
          <w:szCs w:val="24"/>
        </w:rPr>
        <w:t>年度融资总额（包含长期融资）、接受控股股东贷款及存量资金管理的议案”提交董事会审议的</w:t>
      </w:r>
      <w:r w:rsidR="00484DEE">
        <w:rPr>
          <w:rFonts w:ascii="宋体" w:hAnsi="宋体" w:hint="eastAsia"/>
          <w:color w:val="000000"/>
          <w:kern w:val="0"/>
          <w:sz w:val="24"/>
          <w:szCs w:val="24"/>
        </w:rPr>
        <w:t>事前</w:t>
      </w:r>
      <w:bookmarkStart w:id="3" w:name="_GoBack"/>
      <w:bookmarkEnd w:id="3"/>
      <w:r w:rsidRPr="0025309C">
        <w:rPr>
          <w:rFonts w:ascii="宋体" w:hAnsi="宋体" w:hint="eastAsia"/>
          <w:color w:val="000000"/>
          <w:kern w:val="0"/>
          <w:sz w:val="24"/>
          <w:szCs w:val="24"/>
        </w:rPr>
        <w:t>认可意见书</w:t>
      </w:r>
      <w:r w:rsidRPr="00855710">
        <w:rPr>
          <w:rFonts w:ascii="宋体" w:hAnsi="宋体" w:hint="eastAsia"/>
          <w:color w:val="000000"/>
          <w:kern w:val="0"/>
          <w:sz w:val="24"/>
          <w:szCs w:val="24"/>
        </w:rPr>
        <w:t>》；</w:t>
      </w:r>
    </w:p>
    <w:p w:rsidR="0025309C" w:rsidRPr="00855710" w:rsidRDefault="0025309C" w:rsidP="0025309C">
      <w:pPr>
        <w:widowControl/>
        <w:shd w:val="clear" w:color="auto" w:fill="FFFFFF"/>
        <w:spacing w:line="480" w:lineRule="atLeast"/>
        <w:ind w:firstLine="480"/>
        <w:rPr>
          <w:rFonts w:ascii="宋体" w:hAnsi="宋体"/>
          <w:color w:val="000000"/>
          <w:kern w:val="0"/>
          <w:sz w:val="24"/>
          <w:szCs w:val="24"/>
        </w:rPr>
      </w:pPr>
      <w:r w:rsidRPr="00855710">
        <w:rPr>
          <w:rFonts w:ascii="宋体" w:hAnsi="宋体" w:hint="eastAsia"/>
          <w:color w:val="000000"/>
          <w:kern w:val="0"/>
          <w:sz w:val="24"/>
          <w:szCs w:val="24"/>
        </w:rPr>
        <w:t>（三）经独立董事签字的《独立董事</w:t>
      </w:r>
      <w:bookmarkStart w:id="4" w:name="_Toc4609514"/>
      <w:r w:rsidR="00440C6A" w:rsidRPr="00440C6A">
        <w:rPr>
          <w:rFonts w:ascii="宋体" w:hAnsi="宋体" w:hint="eastAsia"/>
          <w:color w:val="000000"/>
          <w:kern w:val="0"/>
          <w:sz w:val="24"/>
          <w:szCs w:val="24"/>
        </w:rPr>
        <w:t>关于</w:t>
      </w:r>
      <w:r w:rsidR="00440C6A" w:rsidRPr="00440C6A">
        <w:rPr>
          <w:rFonts w:ascii="宋体" w:hAnsi="宋体"/>
          <w:color w:val="000000"/>
          <w:kern w:val="0"/>
          <w:sz w:val="24"/>
          <w:szCs w:val="24"/>
        </w:rPr>
        <w:t>2019</w:t>
      </w:r>
      <w:r w:rsidR="00440C6A" w:rsidRPr="00440C6A">
        <w:rPr>
          <w:rFonts w:ascii="宋体" w:hAnsi="宋体" w:hint="eastAsia"/>
          <w:color w:val="000000"/>
          <w:kern w:val="0"/>
          <w:sz w:val="24"/>
          <w:szCs w:val="24"/>
        </w:rPr>
        <w:t>年度接受控股股东贷款的独立意见</w:t>
      </w:r>
      <w:bookmarkEnd w:id="4"/>
      <w:r w:rsidRPr="00855710">
        <w:rPr>
          <w:rFonts w:ascii="宋体" w:hAnsi="宋体" w:hint="eastAsia"/>
          <w:color w:val="000000"/>
          <w:kern w:val="0"/>
          <w:sz w:val="24"/>
          <w:szCs w:val="24"/>
        </w:rPr>
        <w:t>》。</w:t>
      </w:r>
    </w:p>
    <w:bookmarkEnd w:id="2"/>
    <w:p w:rsidR="0025309C" w:rsidRPr="0025309C" w:rsidRDefault="0025309C" w:rsidP="000D0CCE">
      <w:pPr>
        <w:adjustRightInd w:val="0"/>
        <w:snapToGrid w:val="0"/>
        <w:spacing w:line="520" w:lineRule="atLeast"/>
        <w:ind w:firstLineChars="200" w:firstLine="480"/>
        <w:rPr>
          <w:rFonts w:ascii="宋体" w:hAnsi="宋体"/>
          <w:color w:val="000000"/>
          <w:sz w:val="24"/>
        </w:rPr>
      </w:pPr>
    </w:p>
    <w:p w:rsidR="009748A2" w:rsidRPr="00616E84" w:rsidRDefault="00983554" w:rsidP="00626E3E">
      <w:pPr>
        <w:adjustRightInd w:val="0"/>
        <w:snapToGrid w:val="0"/>
        <w:spacing w:line="520" w:lineRule="atLeast"/>
        <w:ind w:firstLine="480"/>
        <w:rPr>
          <w:rFonts w:ascii="宋体" w:hAnsi="宋体"/>
          <w:color w:val="000000"/>
          <w:sz w:val="24"/>
        </w:rPr>
      </w:pPr>
      <w:r w:rsidRPr="00616E84">
        <w:rPr>
          <w:rFonts w:ascii="宋体" w:hAnsi="宋体" w:hint="eastAsia"/>
          <w:color w:val="000000"/>
          <w:sz w:val="24"/>
        </w:rPr>
        <w:t>特此公告。</w:t>
      </w:r>
    </w:p>
    <w:p w:rsidR="001E118E" w:rsidRPr="00616E84" w:rsidRDefault="001E118E" w:rsidP="007700AF">
      <w:pPr>
        <w:adjustRightInd w:val="0"/>
        <w:snapToGrid w:val="0"/>
        <w:spacing w:line="520" w:lineRule="atLeast"/>
        <w:ind w:leftChars="1" w:left="2" w:firstLineChars="200" w:firstLine="480"/>
        <w:jc w:val="right"/>
        <w:rPr>
          <w:rFonts w:ascii="宋体" w:hAnsi="宋体" w:cs="宋体"/>
          <w:kern w:val="0"/>
          <w:sz w:val="24"/>
        </w:rPr>
      </w:pPr>
      <w:r w:rsidRPr="00616E84">
        <w:rPr>
          <w:rFonts w:ascii="宋体" w:hAnsi="宋体" w:hint="eastAsia"/>
          <w:sz w:val="24"/>
          <w:szCs w:val="28"/>
        </w:rPr>
        <w:t xml:space="preserve">             </w:t>
      </w:r>
      <w:r w:rsidRPr="00616E84">
        <w:rPr>
          <w:rFonts w:ascii="宋体" w:hAnsi="宋体" w:cs="宋体" w:hint="eastAsia"/>
          <w:kern w:val="0"/>
          <w:sz w:val="24"/>
        </w:rPr>
        <w:t xml:space="preserve">          上海陆家嘴金融贸易区开发股份有限公司</w:t>
      </w:r>
    </w:p>
    <w:p w:rsidR="0011342B" w:rsidRPr="00616E84" w:rsidRDefault="001E118E" w:rsidP="000D0CCE">
      <w:pPr>
        <w:adjustRightInd w:val="0"/>
        <w:snapToGrid w:val="0"/>
        <w:spacing w:line="520" w:lineRule="atLeast"/>
        <w:ind w:leftChars="1" w:left="2" w:firstLineChars="200" w:firstLine="480"/>
        <w:jc w:val="right"/>
        <w:rPr>
          <w:rFonts w:ascii="宋体" w:hAnsi="宋体" w:cs="宋体"/>
          <w:kern w:val="0"/>
          <w:sz w:val="24"/>
        </w:rPr>
      </w:pPr>
      <w:r w:rsidRPr="00616E84">
        <w:rPr>
          <w:rFonts w:ascii="宋体" w:hAnsi="宋体" w:cs="宋体" w:hint="eastAsia"/>
          <w:kern w:val="0"/>
          <w:sz w:val="24"/>
        </w:rPr>
        <w:t xml:space="preserve">                                    二〇一</w:t>
      </w:r>
      <w:r w:rsidR="000D0CCE" w:rsidRPr="00616E84">
        <w:rPr>
          <w:rFonts w:ascii="宋体" w:hAnsi="宋体" w:cs="宋体" w:hint="eastAsia"/>
          <w:kern w:val="0"/>
          <w:sz w:val="24"/>
        </w:rPr>
        <w:t>九</w:t>
      </w:r>
      <w:r w:rsidR="00D309BA" w:rsidRPr="00616E84">
        <w:rPr>
          <w:rFonts w:ascii="宋体" w:hAnsi="宋体" w:cs="宋体" w:hint="eastAsia"/>
          <w:kern w:val="0"/>
          <w:sz w:val="24"/>
        </w:rPr>
        <w:t>年三月三十</w:t>
      </w:r>
      <w:r w:rsidRPr="00616E84">
        <w:rPr>
          <w:rFonts w:ascii="宋体" w:hAnsi="宋体" w:cs="宋体" w:hint="eastAsia"/>
          <w:kern w:val="0"/>
          <w:sz w:val="24"/>
        </w:rPr>
        <w:t>日</w:t>
      </w:r>
    </w:p>
    <w:sectPr w:rsidR="0011342B" w:rsidRPr="00616E84" w:rsidSect="00626E3E">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A4" w:rsidRDefault="002F67A4" w:rsidP="00072DD6">
      <w:r>
        <w:separator/>
      </w:r>
    </w:p>
  </w:endnote>
  <w:endnote w:type="continuationSeparator" w:id="0">
    <w:p w:rsidR="002F67A4" w:rsidRDefault="002F67A4" w:rsidP="0007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36" w:rsidRDefault="00F62336">
    <w:pPr>
      <w:pStyle w:val="a5"/>
      <w:jc w:val="center"/>
    </w:pPr>
    <w:r>
      <w:fldChar w:fldCharType="begin"/>
    </w:r>
    <w:r>
      <w:instrText>PAGE   \* MERGEFORMAT</w:instrText>
    </w:r>
    <w:r>
      <w:fldChar w:fldCharType="separate"/>
    </w:r>
    <w:r w:rsidR="00641589" w:rsidRPr="00641589">
      <w:rPr>
        <w:noProof/>
        <w:lang w:val="zh-CN"/>
      </w:rPr>
      <w:t>1</w:t>
    </w:r>
    <w:r>
      <w:fldChar w:fldCharType="end"/>
    </w:r>
  </w:p>
  <w:p w:rsidR="00F62336" w:rsidRDefault="00F623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A4" w:rsidRDefault="002F67A4" w:rsidP="00072DD6">
      <w:r>
        <w:separator/>
      </w:r>
    </w:p>
  </w:footnote>
  <w:footnote w:type="continuationSeparator" w:id="0">
    <w:p w:rsidR="002F67A4" w:rsidRDefault="002F67A4" w:rsidP="0007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642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F4A20"/>
    <w:multiLevelType w:val="hybridMultilevel"/>
    <w:tmpl w:val="083EB1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6F2C4B"/>
    <w:multiLevelType w:val="hybridMultilevel"/>
    <w:tmpl w:val="F9FE22B6"/>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 w15:restartNumberingAfterBreak="0">
    <w:nsid w:val="40374950"/>
    <w:multiLevelType w:val="hybridMultilevel"/>
    <w:tmpl w:val="A170DAD4"/>
    <w:lvl w:ilvl="0" w:tplc="04090001">
      <w:start w:val="1"/>
      <w:numFmt w:val="bullet"/>
      <w:lvlText w:val=""/>
      <w:lvlJc w:val="left"/>
      <w:pPr>
        <w:ind w:left="922" w:hanging="36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15:restartNumberingAfterBreak="0">
    <w:nsid w:val="7A2F2126"/>
    <w:multiLevelType w:val="hybridMultilevel"/>
    <w:tmpl w:val="D84427FA"/>
    <w:lvl w:ilvl="0" w:tplc="2D58151A">
      <w:numFmt w:val="bullet"/>
      <w:lvlText w:val="●"/>
      <w:lvlJc w:val="left"/>
      <w:pPr>
        <w:ind w:left="922" w:hanging="360"/>
      </w:pPr>
      <w:rPr>
        <w:rFonts w:ascii="宋体" w:eastAsia="宋体" w:hAnsi="宋体" w:cs="Times New Roman" w:hint="eastAsia"/>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41F"/>
    <w:rsid w:val="0000011C"/>
    <w:rsid w:val="00007EC1"/>
    <w:rsid w:val="000129BC"/>
    <w:rsid w:val="000212E4"/>
    <w:rsid w:val="00023BBF"/>
    <w:rsid w:val="00044756"/>
    <w:rsid w:val="000463A9"/>
    <w:rsid w:val="0005543E"/>
    <w:rsid w:val="0005724B"/>
    <w:rsid w:val="00061AE7"/>
    <w:rsid w:val="00072DD6"/>
    <w:rsid w:val="000769AA"/>
    <w:rsid w:val="00077A82"/>
    <w:rsid w:val="00086C77"/>
    <w:rsid w:val="000B6A46"/>
    <w:rsid w:val="000B6C99"/>
    <w:rsid w:val="000C329B"/>
    <w:rsid w:val="000C524D"/>
    <w:rsid w:val="000C7A15"/>
    <w:rsid w:val="000D0CCE"/>
    <w:rsid w:val="000D3A06"/>
    <w:rsid w:val="000E416B"/>
    <w:rsid w:val="000F42AE"/>
    <w:rsid w:val="000F5196"/>
    <w:rsid w:val="00107837"/>
    <w:rsid w:val="0011342B"/>
    <w:rsid w:val="001344DC"/>
    <w:rsid w:val="0013798C"/>
    <w:rsid w:val="00140ACD"/>
    <w:rsid w:val="00153F22"/>
    <w:rsid w:val="00154138"/>
    <w:rsid w:val="00167502"/>
    <w:rsid w:val="00172B4C"/>
    <w:rsid w:val="001803CD"/>
    <w:rsid w:val="00181BA2"/>
    <w:rsid w:val="0018356F"/>
    <w:rsid w:val="00186F1B"/>
    <w:rsid w:val="001875F9"/>
    <w:rsid w:val="00190EEF"/>
    <w:rsid w:val="001A224B"/>
    <w:rsid w:val="001A6B34"/>
    <w:rsid w:val="001A6C90"/>
    <w:rsid w:val="001B3CFA"/>
    <w:rsid w:val="001B5530"/>
    <w:rsid w:val="001B7563"/>
    <w:rsid w:val="001B7D09"/>
    <w:rsid w:val="001D0DC8"/>
    <w:rsid w:val="001D7E5B"/>
    <w:rsid w:val="001E118E"/>
    <w:rsid w:val="002014A7"/>
    <w:rsid w:val="002015C9"/>
    <w:rsid w:val="00206625"/>
    <w:rsid w:val="002136A3"/>
    <w:rsid w:val="00231EC5"/>
    <w:rsid w:val="00234FAF"/>
    <w:rsid w:val="00243C07"/>
    <w:rsid w:val="00244F25"/>
    <w:rsid w:val="00245112"/>
    <w:rsid w:val="002511AA"/>
    <w:rsid w:val="0025309C"/>
    <w:rsid w:val="00255E74"/>
    <w:rsid w:val="00256FB7"/>
    <w:rsid w:val="00272868"/>
    <w:rsid w:val="00280A6C"/>
    <w:rsid w:val="00281E45"/>
    <w:rsid w:val="002A1ECF"/>
    <w:rsid w:val="002B45C7"/>
    <w:rsid w:val="002B4B28"/>
    <w:rsid w:val="002D683B"/>
    <w:rsid w:val="002F477E"/>
    <w:rsid w:val="002F67A4"/>
    <w:rsid w:val="00300C1D"/>
    <w:rsid w:val="00302E4C"/>
    <w:rsid w:val="003101A1"/>
    <w:rsid w:val="0031155A"/>
    <w:rsid w:val="00311723"/>
    <w:rsid w:val="00322D10"/>
    <w:rsid w:val="00324A33"/>
    <w:rsid w:val="00331269"/>
    <w:rsid w:val="00331979"/>
    <w:rsid w:val="0033664C"/>
    <w:rsid w:val="00342B01"/>
    <w:rsid w:val="00344547"/>
    <w:rsid w:val="00351B05"/>
    <w:rsid w:val="003529CF"/>
    <w:rsid w:val="00353828"/>
    <w:rsid w:val="003568CC"/>
    <w:rsid w:val="0036354D"/>
    <w:rsid w:val="003662F6"/>
    <w:rsid w:val="00370D86"/>
    <w:rsid w:val="00372775"/>
    <w:rsid w:val="003732F6"/>
    <w:rsid w:val="00375F25"/>
    <w:rsid w:val="00381D7F"/>
    <w:rsid w:val="00383AE6"/>
    <w:rsid w:val="00394984"/>
    <w:rsid w:val="0039691D"/>
    <w:rsid w:val="00397EF8"/>
    <w:rsid w:val="003A6077"/>
    <w:rsid w:val="003B6C68"/>
    <w:rsid w:val="003B79F8"/>
    <w:rsid w:val="003C3E89"/>
    <w:rsid w:val="003D0D6F"/>
    <w:rsid w:val="003D5609"/>
    <w:rsid w:val="003E5380"/>
    <w:rsid w:val="003F2FB5"/>
    <w:rsid w:val="003F3B1A"/>
    <w:rsid w:val="00405496"/>
    <w:rsid w:val="004152E1"/>
    <w:rsid w:val="00416A8B"/>
    <w:rsid w:val="00431236"/>
    <w:rsid w:val="00435335"/>
    <w:rsid w:val="00437313"/>
    <w:rsid w:val="00440C6A"/>
    <w:rsid w:val="00445500"/>
    <w:rsid w:val="0045175C"/>
    <w:rsid w:val="0046030F"/>
    <w:rsid w:val="00460F9F"/>
    <w:rsid w:val="0046367B"/>
    <w:rsid w:val="00471BF7"/>
    <w:rsid w:val="004739C7"/>
    <w:rsid w:val="00481E68"/>
    <w:rsid w:val="00484DEE"/>
    <w:rsid w:val="004A08F8"/>
    <w:rsid w:val="004A095B"/>
    <w:rsid w:val="004B0397"/>
    <w:rsid w:val="004B3CA7"/>
    <w:rsid w:val="004C720F"/>
    <w:rsid w:val="004D1DEA"/>
    <w:rsid w:val="004D4C71"/>
    <w:rsid w:val="004D5118"/>
    <w:rsid w:val="00500246"/>
    <w:rsid w:val="00505C88"/>
    <w:rsid w:val="0051060D"/>
    <w:rsid w:val="00510C8A"/>
    <w:rsid w:val="005160B9"/>
    <w:rsid w:val="005172E9"/>
    <w:rsid w:val="00522E1D"/>
    <w:rsid w:val="00525B34"/>
    <w:rsid w:val="005376E5"/>
    <w:rsid w:val="00537D9F"/>
    <w:rsid w:val="00545497"/>
    <w:rsid w:val="00551373"/>
    <w:rsid w:val="0056300C"/>
    <w:rsid w:val="005635E1"/>
    <w:rsid w:val="005642BE"/>
    <w:rsid w:val="00564383"/>
    <w:rsid w:val="00566EED"/>
    <w:rsid w:val="00577A3F"/>
    <w:rsid w:val="00581939"/>
    <w:rsid w:val="00582BF6"/>
    <w:rsid w:val="00587304"/>
    <w:rsid w:val="005A5AD8"/>
    <w:rsid w:val="005B4399"/>
    <w:rsid w:val="005B563E"/>
    <w:rsid w:val="005B5D18"/>
    <w:rsid w:val="005B7472"/>
    <w:rsid w:val="005D505C"/>
    <w:rsid w:val="005D5646"/>
    <w:rsid w:val="005D707A"/>
    <w:rsid w:val="005E1289"/>
    <w:rsid w:val="005E6B41"/>
    <w:rsid w:val="005E7414"/>
    <w:rsid w:val="0060115F"/>
    <w:rsid w:val="0060532E"/>
    <w:rsid w:val="0061159F"/>
    <w:rsid w:val="00616E84"/>
    <w:rsid w:val="006206AE"/>
    <w:rsid w:val="00623D45"/>
    <w:rsid w:val="00624BAC"/>
    <w:rsid w:val="0062515A"/>
    <w:rsid w:val="00626E3E"/>
    <w:rsid w:val="00631F2A"/>
    <w:rsid w:val="00632C35"/>
    <w:rsid w:val="00632CA5"/>
    <w:rsid w:val="00641589"/>
    <w:rsid w:val="00651283"/>
    <w:rsid w:val="006554E4"/>
    <w:rsid w:val="00670FD6"/>
    <w:rsid w:val="00671D83"/>
    <w:rsid w:val="006726C5"/>
    <w:rsid w:val="006A276E"/>
    <w:rsid w:val="006A7FC6"/>
    <w:rsid w:val="006B2B7F"/>
    <w:rsid w:val="006B6A44"/>
    <w:rsid w:val="006B73C8"/>
    <w:rsid w:val="006C089F"/>
    <w:rsid w:val="006C70B8"/>
    <w:rsid w:val="006E6A25"/>
    <w:rsid w:val="006F60FF"/>
    <w:rsid w:val="006F63B0"/>
    <w:rsid w:val="00715888"/>
    <w:rsid w:val="00715CF5"/>
    <w:rsid w:val="007252FE"/>
    <w:rsid w:val="007253F2"/>
    <w:rsid w:val="00727CE3"/>
    <w:rsid w:val="00731C1C"/>
    <w:rsid w:val="00740C88"/>
    <w:rsid w:val="0074250F"/>
    <w:rsid w:val="0074553A"/>
    <w:rsid w:val="007473F2"/>
    <w:rsid w:val="007474C6"/>
    <w:rsid w:val="00747790"/>
    <w:rsid w:val="0075078F"/>
    <w:rsid w:val="00755679"/>
    <w:rsid w:val="00756418"/>
    <w:rsid w:val="0076008A"/>
    <w:rsid w:val="007700AF"/>
    <w:rsid w:val="007813B2"/>
    <w:rsid w:val="00784613"/>
    <w:rsid w:val="007851E1"/>
    <w:rsid w:val="007877C4"/>
    <w:rsid w:val="00790A58"/>
    <w:rsid w:val="007924D5"/>
    <w:rsid w:val="00795AE7"/>
    <w:rsid w:val="007A2C0C"/>
    <w:rsid w:val="007A6848"/>
    <w:rsid w:val="007A6F71"/>
    <w:rsid w:val="007B328E"/>
    <w:rsid w:val="007B77D3"/>
    <w:rsid w:val="007C0DFF"/>
    <w:rsid w:val="007D5263"/>
    <w:rsid w:val="007E1B5C"/>
    <w:rsid w:val="007E2B92"/>
    <w:rsid w:val="007E4B3B"/>
    <w:rsid w:val="007E7DB6"/>
    <w:rsid w:val="007F4E1A"/>
    <w:rsid w:val="00804780"/>
    <w:rsid w:val="00810245"/>
    <w:rsid w:val="00811B7F"/>
    <w:rsid w:val="008122AC"/>
    <w:rsid w:val="00833EC2"/>
    <w:rsid w:val="00844A1D"/>
    <w:rsid w:val="00845BFA"/>
    <w:rsid w:val="008503C6"/>
    <w:rsid w:val="00854BBF"/>
    <w:rsid w:val="00855890"/>
    <w:rsid w:val="00860751"/>
    <w:rsid w:val="00860833"/>
    <w:rsid w:val="008624DF"/>
    <w:rsid w:val="0086396E"/>
    <w:rsid w:val="008654A9"/>
    <w:rsid w:val="0086568A"/>
    <w:rsid w:val="00881EFC"/>
    <w:rsid w:val="0088619C"/>
    <w:rsid w:val="00890CD8"/>
    <w:rsid w:val="008935DD"/>
    <w:rsid w:val="008C0B26"/>
    <w:rsid w:val="008C0D60"/>
    <w:rsid w:val="008C758A"/>
    <w:rsid w:val="008D4487"/>
    <w:rsid w:val="008E6789"/>
    <w:rsid w:val="008F0C7E"/>
    <w:rsid w:val="008F1119"/>
    <w:rsid w:val="008F18D4"/>
    <w:rsid w:val="008F2837"/>
    <w:rsid w:val="008F3D7B"/>
    <w:rsid w:val="008F4E80"/>
    <w:rsid w:val="00902CD3"/>
    <w:rsid w:val="00903C77"/>
    <w:rsid w:val="009107FB"/>
    <w:rsid w:val="009109B9"/>
    <w:rsid w:val="00911AEC"/>
    <w:rsid w:val="0093493A"/>
    <w:rsid w:val="00944717"/>
    <w:rsid w:val="00946378"/>
    <w:rsid w:val="00947421"/>
    <w:rsid w:val="009474A4"/>
    <w:rsid w:val="00951EFB"/>
    <w:rsid w:val="00956C96"/>
    <w:rsid w:val="00960CE3"/>
    <w:rsid w:val="00965E9C"/>
    <w:rsid w:val="009748A2"/>
    <w:rsid w:val="009774A4"/>
    <w:rsid w:val="00983554"/>
    <w:rsid w:val="009952B0"/>
    <w:rsid w:val="009C0190"/>
    <w:rsid w:val="009C1172"/>
    <w:rsid w:val="009C434C"/>
    <w:rsid w:val="009C4647"/>
    <w:rsid w:val="009C568F"/>
    <w:rsid w:val="009D2A9B"/>
    <w:rsid w:val="009D39A4"/>
    <w:rsid w:val="009D40DC"/>
    <w:rsid w:val="009E5AFB"/>
    <w:rsid w:val="009F001E"/>
    <w:rsid w:val="009F141F"/>
    <w:rsid w:val="009F273E"/>
    <w:rsid w:val="009F73E5"/>
    <w:rsid w:val="00A0319F"/>
    <w:rsid w:val="00A03FEF"/>
    <w:rsid w:val="00A10C84"/>
    <w:rsid w:val="00A145CA"/>
    <w:rsid w:val="00A15C7C"/>
    <w:rsid w:val="00A1759E"/>
    <w:rsid w:val="00A30F5B"/>
    <w:rsid w:val="00A451C7"/>
    <w:rsid w:val="00A472B8"/>
    <w:rsid w:val="00A56002"/>
    <w:rsid w:val="00A6027F"/>
    <w:rsid w:val="00A60FEC"/>
    <w:rsid w:val="00A65134"/>
    <w:rsid w:val="00A902C9"/>
    <w:rsid w:val="00AB2C36"/>
    <w:rsid w:val="00AB407B"/>
    <w:rsid w:val="00AB5140"/>
    <w:rsid w:val="00AB7B2C"/>
    <w:rsid w:val="00AC5952"/>
    <w:rsid w:val="00AD37D4"/>
    <w:rsid w:val="00AD61F3"/>
    <w:rsid w:val="00AE0B78"/>
    <w:rsid w:val="00AE2D3C"/>
    <w:rsid w:val="00AE3756"/>
    <w:rsid w:val="00AE463E"/>
    <w:rsid w:val="00AF21EB"/>
    <w:rsid w:val="00B02773"/>
    <w:rsid w:val="00B127AD"/>
    <w:rsid w:val="00B141B3"/>
    <w:rsid w:val="00B15305"/>
    <w:rsid w:val="00B22C40"/>
    <w:rsid w:val="00B42267"/>
    <w:rsid w:val="00B43FF2"/>
    <w:rsid w:val="00B443A4"/>
    <w:rsid w:val="00B557B6"/>
    <w:rsid w:val="00B56243"/>
    <w:rsid w:val="00B5736A"/>
    <w:rsid w:val="00B627C9"/>
    <w:rsid w:val="00B64C65"/>
    <w:rsid w:val="00B65648"/>
    <w:rsid w:val="00B65F7D"/>
    <w:rsid w:val="00B713DB"/>
    <w:rsid w:val="00B71F8A"/>
    <w:rsid w:val="00B72EBF"/>
    <w:rsid w:val="00B83DED"/>
    <w:rsid w:val="00B91D9A"/>
    <w:rsid w:val="00B925E6"/>
    <w:rsid w:val="00B92ABB"/>
    <w:rsid w:val="00B942C5"/>
    <w:rsid w:val="00B977BB"/>
    <w:rsid w:val="00BB41FB"/>
    <w:rsid w:val="00BC1F13"/>
    <w:rsid w:val="00BD4B32"/>
    <w:rsid w:val="00BE54A9"/>
    <w:rsid w:val="00BE7BCD"/>
    <w:rsid w:val="00BF27B9"/>
    <w:rsid w:val="00C044BF"/>
    <w:rsid w:val="00C05B36"/>
    <w:rsid w:val="00C157D1"/>
    <w:rsid w:val="00C22C5F"/>
    <w:rsid w:val="00C2341E"/>
    <w:rsid w:val="00C32E65"/>
    <w:rsid w:val="00C45FE1"/>
    <w:rsid w:val="00C535FB"/>
    <w:rsid w:val="00C5429A"/>
    <w:rsid w:val="00C62138"/>
    <w:rsid w:val="00C62A5F"/>
    <w:rsid w:val="00C634D5"/>
    <w:rsid w:val="00C76929"/>
    <w:rsid w:val="00C82369"/>
    <w:rsid w:val="00C853FD"/>
    <w:rsid w:val="00C862A0"/>
    <w:rsid w:val="00C9021A"/>
    <w:rsid w:val="00C91E83"/>
    <w:rsid w:val="00C9251E"/>
    <w:rsid w:val="00CA05D4"/>
    <w:rsid w:val="00CA4421"/>
    <w:rsid w:val="00CA4529"/>
    <w:rsid w:val="00CB3FC0"/>
    <w:rsid w:val="00CB56B6"/>
    <w:rsid w:val="00CC155A"/>
    <w:rsid w:val="00CC1C08"/>
    <w:rsid w:val="00CD0596"/>
    <w:rsid w:val="00CD3A81"/>
    <w:rsid w:val="00CE6C19"/>
    <w:rsid w:val="00CE7415"/>
    <w:rsid w:val="00CE7680"/>
    <w:rsid w:val="00CF23AD"/>
    <w:rsid w:val="00CF4B34"/>
    <w:rsid w:val="00D0024C"/>
    <w:rsid w:val="00D01014"/>
    <w:rsid w:val="00D011C4"/>
    <w:rsid w:val="00D165BF"/>
    <w:rsid w:val="00D17524"/>
    <w:rsid w:val="00D2048F"/>
    <w:rsid w:val="00D2719F"/>
    <w:rsid w:val="00D309BA"/>
    <w:rsid w:val="00D47354"/>
    <w:rsid w:val="00D51FA9"/>
    <w:rsid w:val="00D60BC4"/>
    <w:rsid w:val="00D62FC1"/>
    <w:rsid w:val="00D86BAE"/>
    <w:rsid w:val="00D90D0C"/>
    <w:rsid w:val="00D978AE"/>
    <w:rsid w:val="00DA1F86"/>
    <w:rsid w:val="00DA59F7"/>
    <w:rsid w:val="00DB01FD"/>
    <w:rsid w:val="00DB0981"/>
    <w:rsid w:val="00DB318A"/>
    <w:rsid w:val="00DB5834"/>
    <w:rsid w:val="00DB6620"/>
    <w:rsid w:val="00DC48EB"/>
    <w:rsid w:val="00DC4BC5"/>
    <w:rsid w:val="00DE5035"/>
    <w:rsid w:val="00DF32D4"/>
    <w:rsid w:val="00DF5B44"/>
    <w:rsid w:val="00E040C3"/>
    <w:rsid w:val="00E102AE"/>
    <w:rsid w:val="00E2150A"/>
    <w:rsid w:val="00E22F73"/>
    <w:rsid w:val="00E278C7"/>
    <w:rsid w:val="00E3018C"/>
    <w:rsid w:val="00E32D0E"/>
    <w:rsid w:val="00E36168"/>
    <w:rsid w:val="00E364CB"/>
    <w:rsid w:val="00E36E24"/>
    <w:rsid w:val="00E37B91"/>
    <w:rsid w:val="00E40D85"/>
    <w:rsid w:val="00E4429F"/>
    <w:rsid w:val="00E5046C"/>
    <w:rsid w:val="00E54833"/>
    <w:rsid w:val="00E573B3"/>
    <w:rsid w:val="00E80C39"/>
    <w:rsid w:val="00E8164B"/>
    <w:rsid w:val="00E84637"/>
    <w:rsid w:val="00E87605"/>
    <w:rsid w:val="00E916F2"/>
    <w:rsid w:val="00E9377E"/>
    <w:rsid w:val="00E9409F"/>
    <w:rsid w:val="00E9783D"/>
    <w:rsid w:val="00EA448B"/>
    <w:rsid w:val="00EB7334"/>
    <w:rsid w:val="00EC10A7"/>
    <w:rsid w:val="00EC4FE6"/>
    <w:rsid w:val="00ED21FE"/>
    <w:rsid w:val="00ED3D7B"/>
    <w:rsid w:val="00ED42A5"/>
    <w:rsid w:val="00EF3C3C"/>
    <w:rsid w:val="00F0093D"/>
    <w:rsid w:val="00F01DAB"/>
    <w:rsid w:val="00F04864"/>
    <w:rsid w:val="00F17221"/>
    <w:rsid w:val="00F204F6"/>
    <w:rsid w:val="00F30FC6"/>
    <w:rsid w:val="00F311B8"/>
    <w:rsid w:val="00F33049"/>
    <w:rsid w:val="00F36906"/>
    <w:rsid w:val="00F442DD"/>
    <w:rsid w:val="00F44745"/>
    <w:rsid w:val="00F4543A"/>
    <w:rsid w:val="00F45995"/>
    <w:rsid w:val="00F46ABF"/>
    <w:rsid w:val="00F56FF2"/>
    <w:rsid w:val="00F62336"/>
    <w:rsid w:val="00F74893"/>
    <w:rsid w:val="00F74A9E"/>
    <w:rsid w:val="00F9459B"/>
    <w:rsid w:val="00F962A2"/>
    <w:rsid w:val="00FD154A"/>
    <w:rsid w:val="00FE0D0E"/>
    <w:rsid w:val="00FE2CFC"/>
    <w:rsid w:val="00FE3A7C"/>
    <w:rsid w:val="00FF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BE29"/>
  <w15:chartTrackingRefBased/>
  <w15:docId w15:val="{8BB06809-9E5F-4A23-A3B5-3EEFDD64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DD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072DD6"/>
    <w:rPr>
      <w:kern w:val="2"/>
      <w:sz w:val="18"/>
      <w:szCs w:val="18"/>
    </w:rPr>
  </w:style>
  <w:style w:type="paragraph" w:styleId="a5">
    <w:name w:val="footer"/>
    <w:basedOn w:val="a"/>
    <w:link w:val="a6"/>
    <w:uiPriority w:val="99"/>
    <w:unhideWhenUsed/>
    <w:rsid w:val="00072DD6"/>
    <w:pPr>
      <w:tabs>
        <w:tab w:val="center" w:pos="4153"/>
        <w:tab w:val="right" w:pos="8306"/>
      </w:tabs>
      <w:snapToGrid w:val="0"/>
      <w:jc w:val="left"/>
    </w:pPr>
    <w:rPr>
      <w:sz w:val="18"/>
      <w:szCs w:val="18"/>
    </w:rPr>
  </w:style>
  <w:style w:type="character" w:customStyle="1" w:styleId="a6">
    <w:name w:val="页脚 字符"/>
    <w:link w:val="a5"/>
    <w:uiPriority w:val="99"/>
    <w:rsid w:val="00072DD6"/>
    <w:rPr>
      <w:kern w:val="2"/>
      <w:sz w:val="18"/>
      <w:szCs w:val="18"/>
    </w:rPr>
  </w:style>
  <w:style w:type="character" w:styleId="a7">
    <w:name w:val="annotation reference"/>
    <w:uiPriority w:val="99"/>
    <w:semiHidden/>
    <w:unhideWhenUsed/>
    <w:rsid w:val="00A65134"/>
    <w:rPr>
      <w:sz w:val="21"/>
      <w:szCs w:val="21"/>
    </w:rPr>
  </w:style>
  <w:style w:type="paragraph" w:styleId="a8">
    <w:name w:val="annotation text"/>
    <w:basedOn w:val="a"/>
    <w:link w:val="a9"/>
    <w:uiPriority w:val="99"/>
    <w:semiHidden/>
    <w:unhideWhenUsed/>
    <w:rsid w:val="00A65134"/>
    <w:pPr>
      <w:jc w:val="left"/>
    </w:pPr>
  </w:style>
  <w:style w:type="character" w:customStyle="1" w:styleId="a9">
    <w:name w:val="批注文字 字符"/>
    <w:link w:val="a8"/>
    <w:uiPriority w:val="99"/>
    <w:semiHidden/>
    <w:rsid w:val="00A65134"/>
    <w:rPr>
      <w:kern w:val="2"/>
      <w:sz w:val="21"/>
      <w:szCs w:val="22"/>
    </w:rPr>
  </w:style>
  <w:style w:type="paragraph" w:styleId="aa">
    <w:name w:val="annotation subject"/>
    <w:basedOn w:val="a8"/>
    <w:next w:val="a8"/>
    <w:link w:val="ab"/>
    <w:uiPriority w:val="99"/>
    <w:semiHidden/>
    <w:unhideWhenUsed/>
    <w:rsid w:val="00A65134"/>
    <w:rPr>
      <w:b/>
      <w:bCs/>
    </w:rPr>
  </w:style>
  <w:style w:type="character" w:customStyle="1" w:styleId="ab">
    <w:name w:val="批注主题 字符"/>
    <w:link w:val="aa"/>
    <w:uiPriority w:val="99"/>
    <w:semiHidden/>
    <w:rsid w:val="00A65134"/>
    <w:rPr>
      <w:b/>
      <w:bCs/>
      <w:kern w:val="2"/>
      <w:sz w:val="21"/>
      <w:szCs w:val="22"/>
    </w:rPr>
  </w:style>
  <w:style w:type="paragraph" w:styleId="ac">
    <w:name w:val="Balloon Text"/>
    <w:basedOn w:val="a"/>
    <w:link w:val="ad"/>
    <w:uiPriority w:val="99"/>
    <w:semiHidden/>
    <w:unhideWhenUsed/>
    <w:rsid w:val="00A65134"/>
    <w:rPr>
      <w:sz w:val="18"/>
      <w:szCs w:val="18"/>
    </w:rPr>
  </w:style>
  <w:style w:type="character" w:customStyle="1" w:styleId="ad">
    <w:name w:val="批注框文本 字符"/>
    <w:link w:val="ac"/>
    <w:uiPriority w:val="99"/>
    <w:semiHidden/>
    <w:rsid w:val="00A65134"/>
    <w:rPr>
      <w:kern w:val="2"/>
      <w:sz w:val="18"/>
      <w:szCs w:val="18"/>
    </w:rPr>
  </w:style>
  <w:style w:type="paragraph" w:customStyle="1" w:styleId="ae">
    <w:name w:val="列出段落"/>
    <w:basedOn w:val="a"/>
    <w:uiPriority w:val="34"/>
    <w:qFormat/>
    <w:rsid w:val="00F36906"/>
    <w:pPr>
      <w:ind w:firstLineChars="200" w:firstLine="420"/>
    </w:pPr>
    <w:rPr>
      <w:rFonts w:ascii="Times New Roman" w:hAnsi="Times New Roman"/>
      <w:szCs w:val="24"/>
    </w:rPr>
  </w:style>
  <w:style w:type="paragraph" w:customStyle="1" w:styleId="Default">
    <w:name w:val="Default"/>
    <w:rsid w:val="00C535FB"/>
    <w:pPr>
      <w:widowControl w:val="0"/>
      <w:autoSpaceDE w:val="0"/>
      <w:autoSpaceDN w:val="0"/>
      <w:adjustRightInd w:val="0"/>
    </w:pPr>
    <w:rPr>
      <w:rFonts w:ascii="宋体" w:cs="宋体"/>
      <w:color w:val="000000"/>
      <w:sz w:val="24"/>
      <w:szCs w:val="24"/>
    </w:rPr>
  </w:style>
  <w:style w:type="character" w:customStyle="1" w:styleId="apple-converted-space">
    <w:name w:val="apple-converted-space"/>
    <w:rsid w:val="000D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928884">
      <w:bodyDiv w:val="1"/>
      <w:marLeft w:val="0"/>
      <w:marRight w:val="0"/>
      <w:marTop w:val="0"/>
      <w:marBottom w:val="0"/>
      <w:divBdr>
        <w:top w:val="none" w:sz="0" w:space="0" w:color="auto"/>
        <w:left w:val="none" w:sz="0" w:space="0" w:color="auto"/>
        <w:bottom w:val="none" w:sz="0" w:space="0" w:color="auto"/>
        <w:right w:val="none" w:sz="0" w:space="0" w:color="auto"/>
      </w:divBdr>
      <w:divsChild>
        <w:div w:id="1611550512">
          <w:marLeft w:val="0"/>
          <w:marRight w:val="0"/>
          <w:marTop w:val="0"/>
          <w:marBottom w:val="0"/>
          <w:divBdr>
            <w:top w:val="none" w:sz="0" w:space="0" w:color="auto"/>
            <w:left w:val="none" w:sz="0" w:space="0" w:color="auto"/>
            <w:bottom w:val="none" w:sz="0" w:space="0" w:color="auto"/>
            <w:right w:val="none" w:sz="0" w:space="0" w:color="auto"/>
          </w:divBdr>
          <w:divsChild>
            <w:div w:id="2084452241">
              <w:marLeft w:val="0"/>
              <w:marRight w:val="0"/>
              <w:marTop w:val="0"/>
              <w:marBottom w:val="0"/>
              <w:divBdr>
                <w:top w:val="none" w:sz="0" w:space="0" w:color="auto"/>
                <w:left w:val="none" w:sz="0" w:space="0" w:color="auto"/>
                <w:bottom w:val="none" w:sz="0" w:space="0" w:color="auto"/>
                <w:right w:val="none" w:sz="0" w:space="0" w:color="auto"/>
              </w:divBdr>
              <w:divsChild>
                <w:div w:id="422843663">
                  <w:marLeft w:val="0"/>
                  <w:marRight w:val="0"/>
                  <w:marTop w:val="0"/>
                  <w:marBottom w:val="0"/>
                  <w:divBdr>
                    <w:top w:val="none" w:sz="0" w:space="0" w:color="auto"/>
                    <w:left w:val="none" w:sz="0" w:space="0" w:color="auto"/>
                    <w:bottom w:val="none" w:sz="0" w:space="0" w:color="auto"/>
                    <w:right w:val="none" w:sz="0" w:space="0" w:color="auto"/>
                  </w:divBdr>
                  <w:divsChild>
                    <w:div w:id="659114427">
                      <w:marLeft w:val="0"/>
                      <w:marRight w:val="0"/>
                      <w:marTop w:val="0"/>
                      <w:marBottom w:val="0"/>
                      <w:divBdr>
                        <w:top w:val="none" w:sz="0" w:space="0" w:color="auto"/>
                        <w:left w:val="none" w:sz="0" w:space="0" w:color="auto"/>
                        <w:bottom w:val="none" w:sz="0" w:space="0" w:color="auto"/>
                        <w:right w:val="none" w:sz="0" w:space="0" w:color="auto"/>
                      </w:divBdr>
                      <w:divsChild>
                        <w:div w:id="99573184">
                          <w:marLeft w:val="0"/>
                          <w:marRight w:val="0"/>
                          <w:marTop w:val="0"/>
                          <w:marBottom w:val="0"/>
                          <w:divBdr>
                            <w:top w:val="none" w:sz="0" w:space="0" w:color="auto"/>
                            <w:left w:val="none" w:sz="0" w:space="0" w:color="auto"/>
                            <w:bottom w:val="none" w:sz="0" w:space="0" w:color="auto"/>
                            <w:right w:val="none" w:sz="0" w:space="0" w:color="auto"/>
                          </w:divBdr>
                          <w:divsChild>
                            <w:div w:id="914127190">
                              <w:marLeft w:val="0"/>
                              <w:marRight w:val="0"/>
                              <w:marTop w:val="0"/>
                              <w:marBottom w:val="0"/>
                              <w:divBdr>
                                <w:top w:val="none" w:sz="0" w:space="0" w:color="auto"/>
                                <w:left w:val="none" w:sz="0" w:space="0" w:color="auto"/>
                                <w:bottom w:val="none" w:sz="0" w:space="0" w:color="auto"/>
                                <w:right w:val="none" w:sz="0" w:space="0" w:color="auto"/>
                              </w:divBdr>
                              <w:divsChild>
                                <w:div w:id="1604067919">
                                  <w:marLeft w:val="0"/>
                                  <w:marRight w:val="0"/>
                                  <w:marTop w:val="0"/>
                                  <w:marBottom w:val="0"/>
                                  <w:divBdr>
                                    <w:top w:val="none" w:sz="0" w:space="0" w:color="auto"/>
                                    <w:left w:val="none" w:sz="0" w:space="0" w:color="auto"/>
                                    <w:bottom w:val="none" w:sz="0" w:space="0" w:color="auto"/>
                                    <w:right w:val="none" w:sz="0" w:space="0" w:color="auto"/>
                                  </w:divBdr>
                                  <w:divsChild>
                                    <w:div w:id="122817125">
                                      <w:marLeft w:val="0"/>
                                      <w:marRight w:val="0"/>
                                      <w:marTop w:val="0"/>
                                      <w:marBottom w:val="0"/>
                                      <w:divBdr>
                                        <w:top w:val="none" w:sz="0" w:space="0" w:color="auto"/>
                                        <w:left w:val="none" w:sz="0" w:space="0" w:color="auto"/>
                                        <w:bottom w:val="none" w:sz="0" w:space="0" w:color="auto"/>
                                        <w:right w:val="none" w:sz="0" w:space="0" w:color="auto"/>
                                      </w:divBdr>
                                      <w:divsChild>
                                        <w:div w:id="2089183406">
                                          <w:marLeft w:val="0"/>
                                          <w:marRight w:val="0"/>
                                          <w:marTop w:val="0"/>
                                          <w:marBottom w:val="0"/>
                                          <w:divBdr>
                                            <w:top w:val="none" w:sz="0" w:space="0" w:color="auto"/>
                                            <w:left w:val="none" w:sz="0" w:space="0" w:color="auto"/>
                                            <w:bottom w:val="none" w:sz="0" w:space="0" w:color="auto"/>
                                            <w:right w:val="none" w:sz="0" w:space="0" w:color="auto"/>
                                          </w:divBdr>
                                          <w:divsChild>
                                            <w:div w:id="588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544914">
      <w:bodyDiv w:val="1"/>
      <w:marLeft w:val="0"/>
      <w:marRight w:val="0"/>
      <w:marTop w:val="0"/>
      <w:marBottom w:val="0"/>
      <w:divBdr>
        <w:top w:val="none" w:sz="0" w:space="0" w:color="auto"/>
        <w:left w:val="none" w:sz="0" w:space="0" w:color="auto"/>
        <w:bottom w:val="none" w:sz="0" w:space="0" w:color="auto"/>
        <w:right w:val="none" w:sz="0" w:space="0" w:color="auto"/>
      </w:divBdr>
      <w:divsChild>
        <w:div w:id="1476023592">
          <w:marLeft w:val="0"/>
          <w:marRight w:val="0"/>
          <w:marTop w:val="0"/>
          <w:marBottom w:val="0"/>
          <w:divBdr>
            <w:top w:val="none" w:sz="0" w:space="0" w:color="auto"/>
            <w:left w:val="none" w:sz="0" w:space="0" w:color="auto"/>
            <w:bottom w:val="none" w:sz="0" w:space="0" w:color="auto"/>
            <w:right w:val="none" w:sz="0" w:space="0" w:color="auto"/>
          </w:divBdr>
          <w:divsChild>
            <w:div w:id="70590195">
              <w:marLeft w:val="0"/>
              <w:marRight w:val="0"/>
              <w:marTop w:val="0"/>
              <w:marBottom w:val="0"/>
              <w:divBdr>
                <w:top w:val="single" w:sz="24" w:space="0" w:color="000000"/>
                <w:left w:val="none" w:sz="0" w:space="0" w:color="auto"/>
                <w:bottom w:val="none" w:sz="0" w:space="0" w:color="auto"/>
                <w:right w:val="none" w:sz="0" w:space="0" w:color="auto"/>
              </w:divBdr>
              <w:divsChild>
                <w:div w:id="13841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3AC6-94D8-4F81-80DE-3E6DE49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340</Words>
  <Characters>1938</Characters>
  <Application>Microsoft Office Word</Application>
  <DocSecurity>0</DocSecurity>
  <Lines>16</Lines>
  <Paragraphs>4</Paragraphs>
  <ScaleCrop>false</ScaleCrop>
  <Company>Lenovo</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陈晰</dc:creator>
  <cp:keywords/>
  <cp:lastModifiedBy>秉文 胡</cp:lastModifiedBy>
  <cp:revision>8</cp:revision>
  <cp:lastPrinted>2018-03-28T06:40:00Z</cp:lastPrinted>
  <dcterms:created xsi:type="dcterms:W3CDTF">2019-03-27T13:07:00Z</dcterms:created>
  <dcterms:modified xsi:type="dcterms:W3CDTF">2019-03-28T05:21:00Z</dcterms:modified>
</cp:coreProperties>
</file>